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97D83" w14:textId="77777777" w:rsidR="00A0729F" w:rsidRPr="00512FF8" w:rsidRDefault="00A0729F" w:rsidP="00A0729F">
      <w:pPr>
        <w:spacing w:line="240" w:lineRule="auto"/>
        <w:jc w:val="both"/>
        <w:rPr>
          <w:rFonts w:ascii="Verdana" w:hAnsi="Verdana" w:cs="Arial"/>
          <w:sz w:val="28"/>
          <w:szCs w:val="28"/>
        </w:rPr>
      </w:pPr>
    </w:p>
    <w:p w14:paraId="395E9F98" w14:textId="77777777" w:rsidR="0012531B" w:rsidRDefault="00A0729F" w:rsidP="00A0729F">
      <w:pPr>
        <w:spacing w:line="240" w:lineRule="auto"/>
        <w:jc w:val="both"/>
        <w:rPr>
          <w:rFonts w:ascii="Verdana" w:hAnsi="Verdana" w:cs="Arial"/>
          <w:b/>
          <w:sz w:val="28"/>
          <w:szCs w:val="28"/>
        </w:rPr>
      </w:pPr>
      <w:r w:rsidRPr="00512FF8">
        <w:rPr>
          <w:rFonts w:ascii="Verdana" w:hAnsi="Verdana" w:cs="Arial"/>
          <w:b/>
          <w:sz w:val="28"/>
          <w:szCs w:val="28"/>
        </w:rPr>
        <w:t>Ingresa</w:t>
      </w:r>
      <w:r w:rsidR="0012531B">
        <w:rPr>
          <w:rFonts w:ascii="Verdana" w:hAnsi="Verdana" w:cs="Arial"/>
          <w:b/>
          <w:sz w:val="28"/>
          <w:szCs w:val="28"/>
        </w:rPr>
        <w:t>:</w:t>
      </w:r>
    </w:p>
    <w:p w14:paraId="3A60E541" w14:textId="04426C5C" w:rsidR="00A0729F" w:rsidRPr="00512FF8" w:rsidRDefault="0012531B" w:rsidP="00A0729F">
      <w:pPr>
        <w:spacing w:line="240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 A</w:t>
      </w:r>
      <w:r w:rsidR="00A0729F" w:rsidRPr="00512FF8">
        <w:rPr>
          <w:rFonts w:ascii="Verdana" w:hAnsi="Verdana" w:cs="Arial"/>
          <w:sz w:val="28"/>
          <w:szCs w:val="28"/>
        </w:rPr>
        <w:t xml:space="preserve"> los siguientes links para conocer diferentes desigualdades sociales de acuerdo a las problemáticas actuales.</w:t>
      </w:r>
    </w:p>
    <w:p w14:paraId="3247C036" w14:textId="77777777" w:rsidR="00A0729F" w:rsidRPr="00512FF8" w:rsidRDefault="00A0729F" w:rsidP="00A0729F">
      <w:pPr>
        <w:pStyle w:val="Ttulo3"/>
        <w:numPr>
          <w:ilvl w:val="0"/>
          <w:numId w:val="36"/>
        </w:numPr>
        <w:shd w:val="clear" w:color="auto" w:fill="FFFFFF"/>
        <w:spacing w:before="0" w:line="240" w:lineRule="auto"/>
        <w:rPr>
          <w:rFonts w:ascii="Verdana" w:hAnsi="Verdana" w:cstheme="minorHAnsi"/>
          <w:b w:val="0"/>
          <w:bCs w:val="0"/>
          <w:color w:val="auto"/>
          <w:sz w:val="28"/>
          <w:szCs w:val="28"/>
        </w:rPr>
      </w:pPr>
      <w:r w:rsidRPr="00512FF8">
        <w:rPr>
          <w:rFonts w:ascii="Verdana" w:hAnsi="Verdana" w:cstheme="minorHAnsi"/>
          <w:b w:val="0"/>
          <w:bCs w:val="0"/>
          <w:color w:val="auto"/>
          <w:sz w:val="28"/>
          <w:szCs w:val="28"/>
        </w:rPr>
        <w:t>Irak: Opiniones de los recién alfabetizados.</w:t>
      </w:r>
    </w:p>
    <w:p w14:paraId="3F7913FB" w14:textId="57894C01" w:rsidR="00A0729F" w:rsidRPr="00512FF8" w:rsidRDefault="0012531B" w:rsidP="00A0729F">
      <w:hyperlink r:id="rId9" w:history="1">
        <w:r w:rsidRPr="0012531B">
          <w:rPr>
            <w:rStyle w:val="Hipervnculo"/>
            <w:rFonts w:ascii="Verdana" w:hAnsi="Verdana" w:cstheme="minorHAnsi"/>
            <w:sz w:val="28"/>
            <w:szCs w:val="28"/>
          </w:rPr>
          <w:t>http://www.unesco.org/new/es/education/resources/online-materials/single-view/news/iraq_the_newly_literate_speak_out/</w:t>
        </w:r>
      </w:hyperlink>
    </w:p>
    <w:p w14:paraId="23004F90" w14:textId="77777777" w:rsidR="00A0729F" w:rsidRPr="00512FF8" w:rsidRDefault="00A0729F" w:rsidP="00A0729F">
      <w:pPr>
        <w:pStyle w:val="Ttulo3"/>
        <w:numPr>
          <w:ilvl w:val="0"/>
          <w:numId w:val="36"/>
        </w:numPr>
        <w:shd w:val="clear" w:color="auto" w:fill="FFFFFF"/>
        <w:spacing w:before="0" w:line="240" w:lineRule="auto"/>
        <w:rPr>
          <w:rFonts w:ascii="Verdana" w:hAnsi="Verdana" w:cstheme="minorHAnsi"/>
          <w:b w:val="0"/>
          <w:bCs w:val="0"/>
          <w:color w:val="auto"/>
          <w:sz w:val="28"/>
          <w:szCs w:val="28"/>
        </w:rPr>
      </w:pPr>
      <w:r w:rsidRPr="00512FF8">
        <w:rPr>
          <w:rFonts w:ascii="Verdana" w:hAnsi="Verdana" w:cstheme="minorHAnsi"/>
          <w:b w:val="0"/>
          <w:bCs w:val="0"/>
          <w:color w:val="auto"/>
          <w:sz w:val="28"/>
          <w:szCs w:val="28"/>
        </w:rPr>
        <w:t>La Iniciativa mundial de la UNESCO para la educación de las niñas y las mujeres entra en su segundo año de actividades.</w:t>
      </w:r>
    </w:p>
    <w:p w14:paraId="37ECF8B0" w14:textId="783EBC18" w:rsidR="00A0729F" w:rsidRPr="00512FF8" w:rsidRDefault="0012531B" w:rsidP="00A0729F">
      <w:hyperlink r:id="rId10" w:history="1">
        <w:r w:rsidRPr="0012531B">
          <w:rPr>
            <w:rStyle w:val="Hipervnculo"/>
            <w:rFonts w:ascii="Verdana" w:hAnsi="Verdana" w:cstheme="minorHAnsi"/>
            <w:sz w:val="28"/>
            <w:szCs w:val="28"/>
          </w:rPr>
          <w:t>http://www.unesco.org/new/es/education/themes/education-building-blocks/literacy/single-view/news/unesco_global_partnership_for_girls_and_womens_education_enters_its_second_year/</w:t>
        </w:r>
      </w:hyperlink>
    </w:p>
    <w:p w14:paraId="190D4A96" w14:textId="77777777" w:rsidR="00A0729F" w:rsidRPr="00512FF8" w:rsidRDefault="00A0729F" w:rsidP="00A0729F">
      <w:pPr>
        <w:pStyle w:val="Ttulo3"/>
        <w:numPr>
          <w:ilvl w:val="0"/>
          <w:numId w:val="36"/>
        </w:numPr>
        <w:shd w:val="clear" w:color="auto" w:fill="FFFFFF"/>
        <w:spacing w:before="0" w:line="240" w:lineRule="auto"/>
        <w:rPr>
          <w:rFonts w:ascii="Verdana" w:hAnsi="Verdana" w:cstheme="minorHAnsi"/>
          <w:b w:val="0"/>
          <w:color w:val="auto"/>
          <w:sz w:val="28"/>
          <w:szCs w:val="28"/>
        </w:rPr>
      </w:pPr>
      <w:r w:rsidRPr="00512FF8">
        <w:rPr>
          <w:rFonts w:ascii="Verdana" w:hAnsi="Verdana" w:cstheme="minorHAnsi"/>
          <w:b w:val="0"/>
          <w:color w:val="auto"/>
          <w:sz w:val="28"/>
          <w:szCs w:val="28"/>
        </w:rPr>
        <w:t>EU suspende la deportación de jóvenes inmigrantes ilegales.</w:t>
      </w:r>
    </w:p>
    <w:p w14:paraId="62BAF79D" w14:textId="65D865C2" w:rsidR="00A0729F" w:rsidRPr="00512FF8" w:rsidRDefault="0012531B" w:rsidP="00A0729F">
      <w:hyperlink r:id="rId11" w:history="1">
        <w:r w:rsidRPr="0012531B">
          <w:rPr>
            <w:rStyle w:val="Hipervnculo"/>
            <w:rFonts w:ascii="Verdana" w:hAnsi="Verdana" w:cstheme="minorHAnsi"/>
            <w:sz w:val="28"/>
            <w:szCs w:val="28"/>
          </w:rPr>
          <w:t>http://mexico.cnn.com/mundo/2012/06/15/eu-suspende-la-deportacion-de-jovenes-inmigrantes-ilegales</w:t>
        </w:r>
      </w:hyperlink>
    </w:p>
    <w:p w14:paraId="39BA3906" w14:textId="77777777" w:rsidR="00A0729F" w:rsidRPr="00512FF8" w:rsidRDefault="00A0729F" w:rsidP="00A0729F">
      <w:pPr>
        <w:pStyle w:val="Ttulo3"/>
        <w:numPr>
          <w:ilvl w:val="0"/>
          <w:numId w:val="36"/>
        </w:numPr>
        <w:spacing w:before="0" w:line="240" w:lineRule="auto"/>
        <w:rPr>
          <w:rFonts w:ascii="Verdana" w:hAnsi="Verdana" w:cstheme="minorHAnsi"/>
          <w:b w:val="0"/>
          <w:bCs w:val="0"/>
          <w:color w:val="auto"/>
          <w:sz w:val="28"/>
          <w:szCs w:val="28"/>
        </w:rPr>
      </w:pPr>
      <w:r w:rsidRPr="00512FF8">
        <w:rPr>
          <w:rFonts w:ascii="Verdana" w:hAnsi="Verdana" w:cstheme="minorHAnsi"/>
          <w:b w:val="0"/>
          <w:bCs w:val="0"/>
          <w:color w:val="auto"/>
          <w:sz w:val="28"/>
          <w:szCs w:val="28"/>
        </w:rPr>
        <w:t>Niños de la Calle.</w:t>
      </w:r>
    </w:p>
    <w:p w14:paraId="4CA7B737" w14:textId="5BF36DA5" w:rsidR="00A0729F" w:rsidRPr="00512FF8" w:rsidRDefault="0012531B" w:rsidP="00A0729F">
      <w:hyperlink r:id="rId12" w:history="1">
        <w:r w:rsidRPr="0012531B">
          <w:rPr>
            <w:rStyle w:val="Hipervnculo"/>
            <w:rFonts w:ascii="Verdana" w:hAnsi="Verdana" w:cstheme="minorHAnsi"/>
            <w:sz w:val="28"/>
            <w:szCs w:val="28"/>
          </w:rPr>
          <w:t>http://www.unesco.org/new/es/education/themes/strengthening-education-systems/inclusive-education/street-children/</w:t>
        </w:r>
      </w:hyperlink>
    </w:p>
    <w:p w14:paraId="3B69A155" w14:textId="0A7CC36A" w:rsidR="0012531B" w:rsidRPr="0012531B" w:rsidRDefault="00A0729F" w:rsidP="0012531B">
      <w:pPr>
        <w:pStyle w:val="Ttulo3"/>
        <w:numPr>
          <w:ilvl w:val="0"/>
          <w:numId w:val="36"/>
        </w:numPr>
        <w:spacing w:before="0" w:line="240" w:lineRule="atLeast"/>
        <w:rPr>
          <w:rFonts w:ascii="Verdana" w:hAnsi="Verdana" w:cstheme="minorHAnsi"/>
          <w:b w:val="0"/>
          <w:bCs w:val="0"/>
          <w:color w:val="auto"/>
          <w:sz w:val="28"/>
          <w:szCs w:val="28"/>
        </w:rPr>
      </w:pPr>
      <w:r w:rsidRPr="00512FF8">
        <w:rPr>
          <w:rFonts w:ascii="Verdana" w:hAnsi="Verdana" w:cstheme="minorHAnsi"/>
          <w:b w:val="0"/>
          <w:bCs w:val="0"/>
          <w:color w:val="auto"/>
          <w:sz w:val="28"/>
          <w:szCs w:val="28"/>
        </w:rPr>
        <w:t>Respuesta de la UNESCO al VIH y el SIDA.</w:t>
      </w:r>
    </w:p>
    <w:p w14:paraId="0343C185" w14:textId="77777777" w:rsidR="0012531B" w:rsidRDefault="0012531B" w:rsidP="0012531B">
      <w:pPr>
        <w:pStyle w:val="Ttulo2"/>
        <w:shd w:val="clear" w:color="auto" w:fill="F7F7F7"/>
        <w:spacing w:before="0"/>
        <w:ind w:left="360"/>
        <w:rPr>
          <w:rFonts w:ascii="Verdana" w:hAnsi="Verdana" w:cstheme="minorHAnsi"/>
          <w:b w:val="0"/>
          <w:caps/>
          <w:color w:val="auto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fldChar w:fldCharType="begin"/>
      </w:r>
      <w:r>
        <w:rPr>
          <w:rFonts w:ascii="Verdana" w:hAnsi="Verdana" w:cstheme="minorHAnsi"/>
          <w:sz w:val="28"/>
          <w:szCs w:val="28"/>
        </w:rPr>
        <w:instrText xml:space="preserve"> HYPERLINK "http://www.unesco.org/new/es/education/themes/strengthening-education-systems/hiv-aids-education/" </w:instrText>
      </w:r>
      <w:r>
        <w:rPr>
          <w:rFonts w:ascii="Verdana" w:hAnsi="Verdana" w:cstheme="minorHAnsi"/>
          <w:sz w:val="28"/>
          <w:szCs w:val="28"/>
        </w:rPr>
      </w:r>
      <w:r>
        <w:rPr>
          <w:rFonts w:ascii="Verdana" w:hAnsi="Verdana" w:cstheme="minorHAnsi"/>
          <w:sz w:val="28"/>
          <w:szCs w:val="28"/>
        </w:rPr>
        <w:fldChar w:fldCharType="separate"/>
      </w:r>
      <w:r w:rsidRPr="0012531B">
        <w:rPr>
          <w:rStyle w:val="Hipervnculo"/>
          <w:rFonts w:ascii="Verdana" w:hAnsi="Verdana" w:cstheme="minorHAnsi"/>
          <w:sz w:val="28"/>
          <w:szCs w:val="28"/>
        </w:rPr>
        <w:t>http://www.unesco.org/new/es/education/themes/strengthening-education-systems/hiv-aids-education/</w:t>
      </w:r>
      <w:r w:rsidR="00A0729F" w:rsidRPr="0012531B">
        <w:rPr>
          <w:rStyle w:val="Hipervnculo"/>
          <w:rFonts w:ascii="Verdana" w:hAnsi="Verdana" w:cstheme="minorHAnsi"/>
          <w:b w:val="0"/>
          <w:caps/>
          <w:sz w:val="28"/>
          <w:szCs w:val="28"/>
        </w:rPr>
        <w:t>MÉXICO Y LA</w:t>
      </w:r>
      <w:r>
        <w:rPr>
          <w:rFonts w:ascii="Verdana" w:hAnsi="Verdana" w:cstheme="minorHAnsi"/>
          <w:sz w:val="28"/>
          <w:szCs w:val="28"/>
        </w:rPr>
        <w:fldChar w:fldCharType="end"/>
      </w:r>
      <w:r w:rsidR="00A0729F" w:rsidRPr="00512FF8">
        <w:rPr>
          <w:rFonts w:ascii="Verdana" w:hAnsi="Verdana" w:cstheme="minorHAnsi"/>
          <w:b w:val="0"/>
          <w:caps/>
          <w:color w:val="auto"/>
          <w:sz w:val="28"/>
          <w:szCs w:val="28"/>
        </w:rPr>
        <w:t xml:space="preserve"> </w:t>
      </w:r>
    </w:p>
    <w:p w14:paraId="60BE18E3" w14:textId="77777777" w:rsidR="0012531B" w:rsidRDefault="0012531B" w:rsidP="0012531B">
      <w:pPr>
        <w:pStyle w:val="Ttulo2"/>
        <w:shd w:val="clear" w:color="auto" w:fill="F7F7F7"/>
        <w:spacing w:before="0"/>
        <w:ind w:left="360"/>
        <w:rPr>
          <w:rFonts w:ascii="Verdana" w:hAnsi="Verdana" w:cstheme="minorHAnsi"/>
          <w:b w:val="0"/>
          <w:caps/>
          <w:color w:val="auto"/>
          <w:sz w:val="28"/>
          <w:szCs w:val="28"/>
        </w:rPr>
      </w:pPr>
    </w:p>
    <w:p w14:paraId="50C3EDFC" w14:textId="5963B25A" w:rsidR="00A0729F" w:rsidRPr="00512FF8" w:rsidRDefault="00A0729F" w:rsidP="0012531B">
      <w:pPr>
        <w:pStyle w:val="Ttulo2"/>
        <w:shd w:val="clear" w:color="auto" w:fill="F7F7F7"/>
        <w:spacing w:before="0"/>
        <w:ind w:left="360"/>
        <w:rPr>
          <w:rFonts w:ascii="Verdana" w:hAnsi="Verdana" w:cstheme="minorHAnsi"/>
          <w:b w:val="0"/>
          <w:caps/>
          <w:color w:val="auto"/>
          <w:sz w:val="28"/>
          <w:szCs w:val="28"/>
        </w:rPr>
      </w:pPr>
      <w:r w:rsidRPr="00512FF8">
        <w:rPr>
          <w:rFonts w:ascii="Verdana" w:hAnsi="Verdana" w:cstheme="minorHAnsi"/>
          <w:b w:val="0"/>
          <w:caps/>
          <w:color w:val="auto"/>
          <w:sz w:val="28"/>
          <w:szCs w:val="28"/>
        </w:rPr>
        <w:t>HOMOSEXUALIDAD.</w:t>
      </w:r>
    </w:p>
    <w:p w14:paraId="2F93C395" w14:textId="057382B2" w:rsidR="00EC00F2" w:rsidRPr="00512FF8" w:rsidRDefault="0012531B" w:rsidP="00A0729F">
      <w:hyperlink r:id="rId13" w:history="1">
        <w:r w:rsidRPr="0012531B">
          <w:rPr>
            <w:rStyle w:val="Hipervnculo"/>
            <w:rFonts w:ascii="Verdana" w:hAnsi="Verdana" w:cstheme="minorHAnsi"/>
            <w:sz w:val="28"/>
            <w:szCs w:val="28"/>
          </w:rPr>
          <w:t>http://www.parship.com.mx/magazine/la-vida-de-los-solteros/mexico-y-la-homosexualidad.htm</w:t>
        </w:r>
      </w:hyperlink>
      <w:bookmarkStart w:id="0" w:name="_GoBack"/>
      <w:bookmarkEnd w:id="0"/>
    </w:p>
    <w:sectPr w:rsidR="00EC00F2" w:rsidRPr="00512FF8" w:rsidSect="00E01B9E">
      <w:headerReference w:type="default" r:id="rId14"/>
      <w:footerReference w:type="default" r:id="rId15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2252C4" w14:textId="77777777" w:rsidR="00512FF8" w:rsidRDefault="00512FF8" w:rsidP="0014572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A00A83" w:rsidRPr="00512FF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Ecuaciones </w:t>
                          </w:r>
                          <w:r w:rsidR="0014572A" w:rsidRPr="00512FF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de Primer Grado</w:t>
                          </w:r>
                          <w:r w:rsidR="00A00A83" w:rsidRPr="00512FF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 </w:t>
                          </w:r>
                        </w:p>
                        <w:p w14:paraId="6AC97B62" w14:textId="66CE0C2E" w:rsidR="00EC00F2" w:rsidRPr="00512FF8" w:rsidRDefault="00A00A83" w:rsidP="00512FF8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512FF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con una Variable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32252C4" w14:textId="77777777" w:rsidR="00512FF8" w:rsidRDefault="00512FF8" w:rsidP="0014572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A00A83" w:rsidRPr="00512FF8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Ecuaciones </w:t>
                    </w:r>
                    <w:r w:rsidR="0014572A" w:rsidRPr="00512FF8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de Primer Grado</w:t>
                    </w:r>
                    <w:r w:rsidR="00A00A83" w:rsidRPr="00512FF8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 </w:t>
                    </w:r>
                  </w:p>
                  <w:p w14:paraId="6AC97B62" w14:textId="66CE0C2E" w:rsidR="00EC00F2" w:rsidRPr="00512FF8" w:rsidRDefault="00A00A83" w:rsidP="00512FF8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512FF8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con una Variable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4"/>
  </w:num>
  <w:num w:numId="14">
    <w:abstractNumId w:val="35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1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2531B"/>
    <w:rsid w:val="001408BB"/>
    <w:rsid w:val="0014572A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12FF8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754B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0729F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1B9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72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0729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253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72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0729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253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exico.cnn.com/mundo/2012/06/15/eu-suspende-la-deportacion-de-jovenes-inmigrantes-ilegales" TargetMode="External"/><Relationship Id="rId12" Type="http://schemas.openxmlformats.org/officeDocument/2006/relationships/hyperlink" Target="http://www.unesco.org/new/es/education/themes/strengthening-education-systems/inclusive-education/street-children/" TargetMode="External"/><Relationship Id="rId13" Type="http://schemas.openxmlformats.org/officeDocument/2006/relationships/hyperlink" Target="http://www.parship.com.mx/magazine/la-vida-de-los-solteros/mexico-y-la-homosexualidad.htm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unesco.org/new/es/education/resources/online-materials/single-view/news/iraq_the_newly_literate_speak_out/" TargetMode="External"/><Relationship Id="rId10" Type="http://schemas.openxmlformats.org/officeDocument/2006/relationships/hyperlink" Target="http://www.unesco.org/new/es/education/themes/education-building-blocks/literacy/single-view/news/unesco_global_partnership_for_girls_and_womens_education_enters_its_second_ye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61B452-CFC9-354E-98B0-49E15FBA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1637</Characters>
  <Application>Microsoft Macintosh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2014-06-24T13:34:00Z</cp:lastPrinted>
  <dcterms:created xsi:type="dcterms:W3CDTF">2014-06-24T13:34:00Z</dcterms:created>
  <dcterms:modified xsi:type="dcterms:W3CDTF">2015-04-22T19:30:00Z</dcterms:modified>
</cp:coreProperties>
</file>