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AB2D31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AB2D31" w:rsidRDefault="00AE695A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  <w:r w:rsidRPr="00AB2D31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AB2D31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4468F985" w14:textId="77777777" w:rsidR="00A34984" w:rsidRPr="00AB2D31" w:rsidRDefault="00A34984" w:rsidP="00A34984">
      <w:pPr>
        <w:spacing w:line="240" w:lineRule="auto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45BE3C87" w14:textId="77777777" w:rsidR="00AB2D31" w:rsidRPr="00AB2D31" w:rsidRDefault="00AB2D31" w:rsidP="00AB2D31">
      <w:pPr>
        <w:jc w:val="both"/>
        <w:rPr>
          <w:rFonts w:ascii="Verdana" w:hAnsi="Verdana" w:cstheme="minorHAnsi"/>
          <w:szCs w:val="24"/>
        </w:rPr>
      </w:pPr>
      <w:r w:rsidRPr="00AB2D31">
        <w:rPr>
          <w:rFonts w:ascii="Verdana" w:hAnsi="Verdana" w:cstheme="minorHAnsi"/>
          <w:szCs w:val="24"/>
        </w:rPr>
        <w:t>Consulta de forma adecuada lo que a continuación se te pide y responde correctamente. Recuerda agregar las referencias pertinentes.</w:t>
      </w:r>
    </w:p>
    <w:p w14:paraId="2E24DB6A" w14:textId="77777777" w:rsidR="00AB2D31" w:rsidRPr="00AB2D31" w:rsidRDefault="00AB2D31" w:rsidP="00AB2D31">
      <w:pPr>
        <w:jc w:val="both"/>
        <w:rPr>
          <w:rFonts w:ascii="Verdana" w:hAnsi="Verdana" w:cstheme="minorHAnsi"/>
          <w:szCs w:val="24"/>
        </w:rPr>
      </w:pPr>
    </w:p>
    <w:p w14:paraId="57023937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Explica el concepto de densidad como una propiedad de la materia.</w:t>
      </w:r>
    </w:p>
    <w:p w14:paraId="0B59C64E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¿De qué forma varía la densidad de una disolución al aumentar la cantidad de un soluto y un soluto líquido?</w:t>
      </w:r>
    </w:p>
    <w:p w14:paraId="0E195137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 xml:space="preserve">Explica el concepto de viscosidad. </w:t>
      </w:r>
    </w:p>
    <w:p w14:paraId="7C4D6B44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Explica cómo se mide experimentalmente la viscosidad de una disolución y realiza un diagrama de viscosímetro, puedes tomar como referencia el método de Ostwald-Fenske.</w:t>
      </w:r>
    </w:p>
    <w:p w14:paraId="41190A10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Explica qué son los electrolitos y cuál es la diferencia entre un electrolito y un no electrolito.</w:t>
      </w:r>
    </w:p>
    <w:p w14:paraId="78A3D31D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Explica la diferencia entre un electrolito fuerte y un electrolito débil.</w:t>
      </w:r>
    </w:p>
    <w:p w14:paraId="3FE6EE6E" w14:textId="77777777" w:rsidR="00AB2D31" w:rsidRPr="00AB2D31" w:rsidRDefault="00AB2D31" w:rsidP="00AB2D31">
      <w:pPr>
        <w:pStyle w:val="Prrafodelista"/>
        <w:numPr>
          <w:ilvl w:val="0"/>
          <w:numId w:val="40"/>
        </w:numPr>
        <w:jc w:val="both"/>
        <w:rPr>
          <w:rFonts w:ascii="Verdana" w:hAnsi="Verdana" w:cstheme="minorHAnsi"/>
          <w:b/>
          <w:sz w:val="28"/>
          <w:szCs w:val="32"/>
        </w:rPr>
      </w:pPr>
      <w:r w:rsidRPr="00AB2D31">
        <w:rPr>
          <w:rFonts w:ascii="Verdana" w:hAnsi="Verdana" w:cstheme="minorHAnsi"/>
          <w:sz w:val="22"/>
        </w:rPr>
        <w:t>Enlista 5 sustancias que se comporten como electrolitos débiles y 5 como electrolitos fuertes.</w:t>
      </w:r>
    </w:p>
    <w:p w14:paraId="4E4CFCF4" w14:textId="38668374" w:rsidR="009573B0" w:rsidRDefault="009573B0" w:rsidP="009573B0">
      <w:pPr>
        <w:spacing w:line="240" w:lineRule="auto"/>
        <w:jc w:val="both"/>
        <w:rPr>
          <w:rFonts w:ascii="Verdana" w:hAnsi="Verdana" w:cstheme="minorHAnsi"/>
          <w:b/>
          <w:szCs w:val="24"/>
        </w:rPr>
      </w:pPr>
    </w:p>
    <w:p w14:paraId="4FCDCCC3" w14:textId="77777777" w:rsidR="00AB2D31" w:rsidRDefault="00AB2D31" w:rsidP="009573B0">
      <w:pPr>
        <w:spacing w:line="240" w:lineRule="auto"/>
        <w:jc w:val="both"/>
        <w:rPr>
          <w:rFonts w:ascii="Verdana" w:hAnsi="Verdana" w:cstheme="minorHAnsi"/>
          <w:b/>
          <w:szCs w:val="24"/>
        </w:rPr>
      </w:pPr>
    </w:p>
    <w:p w14:paraId="25352397" w14:textId="77777777" w:rsidR="00AB2D31" w:rsidRPr="00AB2D31" w:rsidRDefault="00AB2D31" w:rsidP="009573B0">
      <w:pPr>
        <w:spacing w:line="240" w:lineRule="auto"/>
        <w:jc w:val="both"/>
        <w:rPr>
          <w:rFonts w:ascii="Verdana" w:hAnsi="Verdana" w:cstheme="minorHAnsi"/>
          <w:b/>
          <w:szCs w:val="24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210"/>
        <w:gridCol w:w="1858"/>
        <w:gridCol w:w="2248"/>
        <w:gridCol w:w="2319"/>
      </w:tblGrid>
      <w:tr w:rsidR="009573B0" w:rsidRPr="00AB2D31" w14:paraId="39073D9D" w14:textId="77777777" w:rsidTr="009573B0">
        <w:trPr>
          <w:trHeight w:val="275"/>
        </w:trPr>
        <w:tc>
          <w:tcPr>
            <w:tcW w:w="1744" w:type="dxa"/>
            <w:shd w:val="clear" w:color="auto" w:fill="C6D9F1" w:themeFill="text2" w:themeFillTint="33"/>
          </w:tcPr>
          <w:p w14:paraId="7A910DB4" w14:textId="77777777" w:rsidR="009573B0" w:rsidRPr="00AB2D31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 xml:space="preserve">CATEGORÍA 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14:paraId="29C7B644" w14:textId="77777777" w:rsidR="009573B0" w:rsidRPr="00AB2D31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>EXCELENTE</w:t>
            </w:r>
          </w:p>
        </w:tc>
        <w:tc>
          <w:tcPr>
            <w:tcW w:w="1858" w:type="dxa"/>
            <w:shd w:val="clear" w:color="auto" w:fill="C6D9F1" w:themeFill="text2" w:themeFillTint="33"/>
          </w:tcPr>
          <w:p w14:paraId="6DA81C8D" w14:textId="77777777" w:rsidR="009573B0" w:rsidRPr="00AB2D31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>BUENO</w:t>
            </w:r>
          </w:p>
        </w:tc>
        <w:tc>
          <w:tcPr>
            <w:tcW w:w="2248" w:type="dxa"/>
            <w:shd w:val="clear" w:color="auto" w:fill="C6D9F1" w:themeFill="text2" w:themeFillTint="33"/>
          </w:tcPr>
          <w:p w14:paraId="655C42DC" w14:textId="77777777" w:rsidR="009573B0" w:rsidRPr="00AB2D31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>SUFICIENTE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1F7DD2A8" w14:textId="77777777" w:rsidR="009573B0" w:rsidRPr="00AB2D31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>INSUFICIENTE</w:t>
            </w:r>
          </w:p>
        </w:tc>
      </w:tr>
      <w:tr w:rsidR="009573B0" w:rsidRPr="00AB2D31" w14:paraId="458E802A" w14:textId="77777777" w:rsidTr="009573B0">
        <w:trPr>
          <w:trHeight w:val="1112"/>
        </w:trPr>
        <w:tc>
          <w:tcPr>
            <w:tcW w:w="1744" w:type="dxa"/>
            <w:shd w:val="clear" w:color="auto" w:fill="FFFFFF"/>
          </w:tcPr>
          <w:p w14:paraId="65D38DEB" w14:textId="77777777" w:rsidR="009573B0" w:rsidRPr="00AB2D31" w:rsidRDefault="009573B0" w:rsidP="007341C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b/>
                <w:sz w:val="18"/>
                <w:szCs w:val="22"/>
                <w:lang w:eastAsia="es-MX"/>
              </w:rPr>
              <w:t>CONSULTA</w:t>
            </w:r>
          </w:p>
        </w:tc>
        <w:tc>
          <w:tcPr>
            <w:tcW w:w="2210" w:type="dxa"/>
          </w:tcPr>
          <w:p w14:paraId="7FF8610F" w14:textId="77777777" w:rsidR="009573B0" w:rsidRPr="00AB2D31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sz w:val="18"/>
                <w:szCs w:val="22"/>
                <w:lang w:eastAsia="es-MX"/>
              </w:rPr>
              <w:t>Las consultas son completamente correctas y mencionan la fuente consultada. Provee los ejemplos.</w:t>
            </w:r>
          </w:p>
        </w:tc>
        <w:tc>
          <w:tcPr>
            <w:tcW w:w="1858" w:type="dxa"/>
          </w:tcPr>
          <w:p w14:paraId="76B083D7" w14:textId="77777777" w:rsidR="009573B0" w:rsidRPr="00AB2D31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sz w:val="18"/>
                <w:szCs w:val="22"/>
                <w:lang w:eastAsia="es-MX"/>
              </w:rPr>
              <w:t>La consulta es correcta y da los ejemplos solicitados. No contiene referencias.</w:t>
            </w:r>
          </w:p>
        </w:tc>
        <w:tc>
          <w:tcPr>
            <w:tcW w:w="2248" w:type="dxa"/>
          </w:tcPr>
          <w:p w14:paraId="6CBED7FF" w14:textId="77777777" w:rsidR="009573B0" w:rsidRPr="00AB2D31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sz w:val="18"/>
                <w:szCs w:val="22"/>
                <w:lang w:eastAsia="es-MX"/>
              </w:rPr>
              <w:t xml:space="preserve">La consulta es correcta, contiene referencias pero no presenta ejemplos. </w:t>
            </w:r>
          </w:p>
        </w:tc>
        <w:tc>
          <w:tcPr>
            <w:tcW w:w="2319" w:type="dxa"/>
          </w:tcPr>
          <w:p w14:paraId="70714C71" w14:textId="77777777" w:rsidR="009573B0" w:rsidRPr="00AB2D31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szCs w:val="22"/>
                <w:lang w:eastAsia="es-MX"/>
              </w:rPr>
            </w:pPr>
            <w:r w:rsidRPr="00AB2D31">
              <w:rPr>
                <w:rFonts w:ascii="Verdana" w:hAnsi="Verdana" w:cs="Calibri"/>
                <w:sz w:val="18"/>
                <w:szCs w:val="22"/>
                <w:lang w:eastAsia="es-MX"/>
              </w:rPr>
              <w:t xml:space="preserve">La consulta no deja clara la definición de cada elemento, no presenta referencias ni ejemplos. </w:t>
            </w:r>
          </w:p>
        </w:tc>
      </w:tr>
    </w:tbl>
    <w:p w14:paraId="06D7A181" w14:textId="77777777" w:rsidR="009573B0" w:rsidRPr="00AB2D31" w:rsidRDefault="009573B0" w:rsidP="009573B0">
      <w:pPr>
        <w:jc w:val="both"/>
        <w:rPr>
          <w:rFonts w:ascii="Verdana" w:hAnsi="Verdana" w:cstheme="minorHAnsi"/>
          <w:szCs w:val="24"/>
        </w:rPr>
      </w:pPr>
    </w:p>
    <w:p w14:paraId="195B87F7" w14:textId="77777777" w:rsidR="009573B0" w:rsidRPr="00AB2D31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sz w:val="20"/>
          <w:szCs w:val="22"/>
          <w:lang w:eastAsia="es-MX"/>
        </w:rPr>
      </w:pPr>
    </w:p>
    <w:p w14:paraId="0E28ABAE" w14:textId="2DE173E4" w:rsidR="004453E6" w:rsidRPr="00AB2D31" w:rsidRDefault="004453E6" w:rsidP="00A34984">
      <w:pPr>
        <w:spacing w:line="240" w:lineRule="auto"/>
        <w:rPr>
          <w:rFonts w:ascii="Verdana" w:hAnsi="Verdana"/>
          <w:noProof/>
          <w:szCs w:val="24"/>
        </w:rPr>
      </w:pPr>
    </w:p>
    <w:p w14:paraId="761D8125" w14:textId="77777777" w:rsidR="004453E6" w:rsidRPr="00AB2D31" w:rsidRDefault="004453E6" w:rsidP="004453E6">
      <w:pPr>
        <w:rPr>
          <w:rFonts w:ascii="Verdana" w:hAnsi="Verdana"/>
          <w:noProof/>
          <w:szCs w:val="24"/>
        </w:rPr>
      </w:pPr>
    </w:p>
    <w:p w14:paraId="63333EE3" w14:textId="15A76BBA" w:rsidR="002F17F7" w:rsidRPr="00AB2D31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  <w:sz w:val="22"/>
        </w:rPr>
      </w:pPr>
    </w:p>
    <w:p w14:paraId="40007982" w14:textId="77777777" w:rsidR="002F17F7" w:rsidRPr="00AB2D31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sz w:val="22"/>
        </w:rPr>
      </w:pPr>
    </w:p>
    <w:p w14:paraId="1A62EAD5" w14:textId="77777777" w:rsidR="002F17F7" w:rsidRPr="00AB2D3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</w:pPr>
      <w:r w:rsidRPr="00AB2D31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 xml:space="preserve">Envíala a través de Plataforma Virtual. </w:t>
      </w:r>
    </w:p>
    <w:p w14:paraId="5FD7A367" w14:textId="77777777" w:rsidR="002F17F7" w:rsidRPr="00AB2D3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</w:pPr>
      <w:r w:rsidRPr="00AB2D31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 xml:space="preserve">Recuerda que el archivo debe ser nombrado: </w:t>
      </w:r>
    </w:p>
    <w:p w14:paraId="7C29E7E1" w14:textId="0E4B0126" w:rsidR="00EB2861" w:rsidRPr="00AB2D31" w:rsidRDefault="002F17F7" w:rsidP="00AB2D3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</w:rPr>
      </w:pPr>
      <w:r w:rsidRPr="00AB2D31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>Apellido Paterno_Primer Nombre_</w:t>
      </w:r>
      <w:r w:rsidR="009573B0" w:rsidRPr="00AB2D31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>Consulta_</w:t>
      </w:r>
      <w:r w:rsidR="00AB2D31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>Conceptos</w:t>
      </w:r>
      <w:bookmarkStart w:id="0" w:name="_GoBack"/>
      <w:bookmarkEnd w:id="0"/>
    </w:p>
    <w:sectPr w:rsidR="00EB2861" w:rsidRPr="00AB2D31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E818D4" w:rsidR="00DF67E6" w:rsidRPr="00AB2D31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B2D31"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Consulta y Responde-Conceptos Generales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CE818D4" w:rsidR="00DF67E6" w:rsidRPr="00AB2D31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AB2D31"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Consulta y Responde-Conceptos Generales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DD2CA-98F9-9A43-AA8D-59AF9C9F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1143</Characters>
  <Application>Microsoft Macintosh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2018-05-02T18:40:00Z</dcterms:modified>
</cp:coreProperties>
</file>