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0859E2" w14:textId="714F4164" w:rsidR="00F66241" w:rsidRDefault="00414266" w:rsidP="007852CE">
      <w:pPr>
        <w:jc w:val="both"/>
        <w:rPr>
          <w:rFonts w:ascii="Dispatch-Black" w:hAnsi="Dispatch-Black" w:cstheme="minorHAnsi"/>
          <w:color w:val="3366FF"/>
          <w:sz w:val="28"/>
          <w:szCs w:val="28"/>
        </w:rPr>
      </w:pPr>
      <w:r>
        <w:rPr>
          <w:rFonts w:ascii="Dispatch-Black" w:hAnsi="Dispatch-Black" w:cstheme="minorHAnsi"/>
          <w:noProof/>
          <w:color w:val="3366FF"/>
          <w:sz w:val="28"/>
          <w:szCs w:val="28"/>
          <w:lang w:val="es-ES" w:eastAsia="es-ES"/>
        </w:rPr>
        <w:drawing>
          <wp:anchor distT="0" distB="0" distL="114300" distR="114300" simplePos="0" relativeHeight="251658240" behindDoc="0" locked="0" layoutInCell="1" allowOverlap="1" wp14:anchorId="3F8B77D5" wp14:editId="4449A2D2">
            <wp:simplePos x="0" y="0"/>
            <wp:positionH relativeFrom="column">
              <wp:posOffset>-800100</wp:posOffset>
            </wp:positionH>
            <wp:positionV relativeFrom="paragraph">
              <wp:posOffset>-1080135</wp:posOffset>
            </wp:positionV>
            <wp:extent cx="8001000" cy="9900285"/>
            <wp:effectExtent l="0" t="0" r="0" b="5715"/>
            <wp:wrapTight wrapText="bothSides">
              <wp:wrapPolygon edited="0">
                <wp:start x="0" y="0"/>
                <wp:lineTo x="0" y="21557"/>
                <wp:lineTo x="21531" y="21557"/>
                <wp:lineTo x="21531" y="0"/>
                <wp:lineTo x="0" y="0"/>
              </wp:wrapPolygon>
            </wp:wrapTight>
            <wp:docPr id="1" name="" descr="ADATA UFD:Materias:Administración Pública y Social:Produccion:Portadas: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TA UFD:Materias:Administración Pública y Social:Produccion:Portadas:Portad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0" cy="99002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A57C074" w14:textId="77777777" w:rsidR="00414266" w:rsidRDefault="00414266" w:rsidP="00681B3C">
      <w:pPr>
        <w:jc w:val="both"/>
        <w:rPr>
          <w:rFonts w:ascii="Dispatch-Black" w:hAnsi="Dispatch-Black" w:cstheme="minorHAnsi"/>
          <w:color w:val="3366FF"/>
          <w:sz w:val="28"/>
          <w:szCs w:val="28"/>
        </w:rPr>
      </w:pPr>
    </w:p>
    <w:p w14:paraId="0AD2A314" w14:textId="3B68C2B4" w:rsidR="00FA2C5B" w:rsidRPr="008D205B" w:rsidRDefault="000E3AF1" w:rsidP="00681B3C">
      <w:pPr>
        <w:jc w:val="both"/>
        <w:rPr>
          <w:rFonts w:ascii="Sansa-Bold" w:hAnsi="Sansa-Bold" w:cstheme="minorHAnsi"/>
          <w:color w:val="3366FF"/>
          <w:sz w:val="28"/>
          <w:szCs w:val="28"/>
        </w:rPr>
      </w:pPr>
      <w:r>
        <w:rPr>
          <w:rFonts w:ascii="Dispatch-Black" w:hAnsi="Dispatch-Black" w:cstheme="minorHAnsi"/>
          <w:color w:val="3366FF"/>
          <w:sz w:val="28"/>
          <w:szCs w:val="28"/>
        </w:rPr>
        <w:t>Introducción</w:t>
      </w:r>
    </w:p>
    <w:p w14:paraId="09F71FFA" w14:textId="30C10517" w:rsidR="00414266" w:rsidRPr="00414266" w:rsidRDefault="00414266" w:rsidP="00414266">
      <w:pPr>
        <w:jc w:val="both"/>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 xml:space="preserve">En la Administración Pública y Social, durante los últimos decenios, se encuentra la permanente discusión en torno a la definición de su campo de estudio. En nuestros días, y gracias al impulso dado al proceso de modernización y reforma del Estado, el campo de la disciplina de la Administración Pública ha incorporado elementos contemporáneos que alimentan su validez epistemológica y ayudan a establecer su objeto. </w:t>
      </w:r>
    </w:p>
    <w:p w14:paraId="55F05D57" w14:textId="77ED03B7" w:rsidR="00414266" w:rsidRPr="00414266" w:rsidRDefault="00414266" w:rsidP="00414266">
      <w:pPr>
        <w:jc w:val="both"/>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 xml:space="preserve">Hoy más que nunca se hace imprescindible una disciplina capaz de estudiar sistemáticamente las decisiones y procedimientos ejecutados por la burocracia al servicio del Estado, para mantener y/o dinamizar su carácter, en una formación social determinada, con visión prospectiva. </w:t>
      </w:r>
    </w:p>
    <w:p w14:paraId="1C1DC8A6" w14:textId="5AB484CE" w:rsidR="00414266" w:rsidRPr="00414266" w:rsidRDefault="00414266" w:rsidP="00414266">
      <w:pPr>
        <w:jc w:val="both"/>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 xml:space="preserve">La Administración Pública tiende a estar conformada por un conjunto de conocimientos científicos, metodológicos y técnicos, orientados hacia la comprensión e intervención en los aspectos políticos de las estructuras, los procesos y el comportamiento administrativo. </w:t>
      </w:r>
    </w:p>
    <w:p w14:paraId="3DA75316" w14:textId="77777777" w:rsidR="00414266" w:rsidRPr="00414266" w:rsidRDefault="00414266" w:rsidP="00414266">
      <w:pPr>
        <w:jc w:val="both"/>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 xml:space="preserve">La Administración Pública no se encuentra como rueda suelta, sino que se ve rodeada de otras disciplinas sociales que comparten su objeto de estudio y desde cada uno de sus ámbitos y con sus particulares desarrollos, inciden o promueven el desarrollo de campo de la Administración Pública y coadyuvan a definir su objeto. </w:t>
      </w:r>
    </w:p>
    <w:p w14:paraId="572B3C9C" w14:textId="77777777" w:rsidR="00414266" w:rsidRPr="00414266" w:rsidRDefault="00414266" w:rsidP="00414266">
      <w:pPr>
        <w:jc w:val="both"/>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Los cambios y nuevas tendencias tecnológicas, científicas, políticas y sociales demuestran el acelerado dinamismo y a veces el difuso proceso de desarrollo social que colocan al Estado, y por ende a sus administradores, frente a nuevos y diferentes retos como regulador de la sociedad actual.</w:t>
      </w:r>
    </w:p>
    <w:p w14:paraId="738A6E90" w14:textId="77777777" w:rsidR="00414266" w:rsidRDefault="00414266" w:rsidP="00681B3C">
      <w:pPr>
        <w:jc w:val="both"/>
        <w:rPr>
          <w:rFonts w:ascii="Dispatch-Black" w:hAnsi="Dispatch-Black" w:cstheme="minorHAnsi"/>
          <w:color w:val="3366FF"/>
          <w:sz w:val="28"/>
          <w:szCs w:val="28"/>
        </w:rPr>
      </w:pPr>
    </w:p>
    <w:p w14:paraId="20C08EB7" w14:textId="77777777" w:rsidR="00414266" w:rsidRDefault="00414266" w:rsidP="00681B3C">
      <w:pPr>
        <w:jc w:val="both"/>
        <w:rPr>
          <w:rFonts w:ascii="Dispatch-Black" w:hAnsi="Dispatch-Black" w:cstheme="minorHAnsi"/>
          <w:color w:val="3366FF"/>
          <w:sz w:val="28"/>
          <w:szCs w:val="28"/>
        </w:rPr>
      </w:pPr>
    </w:p>
    <w:p w14:paraId="162FB476" w14:textId="77777777" w:rsidR="00414266" w:rsidRDefault="00414266" w:rsidP="00681B3C">
      <w:pPr>
        <w:jc w:val="both"/>
        <w:rPr>
          <w:rFonts w:ascii="Dispatch-Black" w:hAnsi="Dispatch-Black" w:cstheme="minorHAnsi"/>
          <w:color w:val="3366FF"/>
          <w:sz w:val="28"/>
          <w:szCs w:val="28"/>
        </w:rPr>
      </w:pPr>
    </w:p>
    <w:p w14:paraId="3F2ACC43" w14:textId="77777777" w:rsidR="00414266" w:rsidRDefault="00414266" w:rsidP="00681B3C">
      <w:pPr>
        <w:jc w:val="both"/>
        <w:rPr>
          <w:rFonts w:ascii="Dispatch-Black" w:hAnsi="Dispatch-Black" w:cstheme="minorHAnsi"/>
          <w:color w:val="3366FF"/>
          <w:sz w:val="28"/>
          <w:szCs w:val="28"/>
        </w:rPr>
      </w:pPr>
    </w:p>
    <w:p w14:paraId="67EB056C" w14:textId="77777777" w:rsidR="00414266" w:rsidRDefault="00414266" w:rsidP="00681B3C">
      <w:pPr>
        <w:jc w:val="both"/>
        <w:rPr>
          <w:rFonts w:ascii="Dispatch-Black" w:hAnsi="Dispatch-Black" w:cstheme="minorHAnsi"/>
          <w:color w:val="3366FF"/>
          <w:sz w:val="28"/>
          <w:szCs w:val="28"/>
        </w:rPr>
      </w:pPr>
    </w:p>
    <w:p w14:paraId="3E3BED55" w14:textId="77777777" w:rsidR="00414266" w:rsidRDefault="00414266" w:rsidP="00681B3C">
      <w:pPr>
        <w:jc w:val="both"/>
        <w:rPr>
          <w:rFonts w:ascii="Dispatch-Black" w:hAnsi="Dispatch-Black" w:cstheme="minorHAnsi"/>
          <w:color w:val="3366FF"/>
          <w:sz w:val="28"/>
          <w:szCs w:val="28"/>
        </w:rPr>
      </w:pPr>
    </w:p>
    <w:p w14:paraId="789ADF18" w14:textId="666DD9D9" w:rsidR="00C55B85" w:rsidRDefault="006B70CD" w:rsidP="00681B3C">
      <w:pPr>
        <w:jc w:val="both"/>
        <w:rPr>
          <w:rFonts w:ascii="Dispatch-Black" w:hAnsi="Dispatch-Black" w:cstheme="minorHAnsi"/>
          <w:color w:val="3366FF"/>
          <w:sz w:val="28"/>
          <w:szCs w:val="28"/>
        </w:rPr>
      </w:pPr>
      <w:r>
        <w:rPr>
          <w:rFonts w:ascii="Dispatch-Black" w:hAnsi="Dispatch-Black" w:cstheme="minorHAnsi"/>
          <w:color w:val="3366FF"/>
          <w:sz w:val="28"/>
          <w:szCs w:val="28"/>
        </w:rPr>
        <w:t>Objetivo de la Materia</w:t>
      </w:r>
    </w:p>
    <w:p w14:paraId="772B52A5" w14:textId="49163209" w:rsidR="00414266" w:rsidRPr="00414266" w:rsidRDefault="00414266" w:rsidP="00414266">
      <w:pPr>
        <w:jc w:val="both"/>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 xml:space="preserve">El objetivo del curso es sensibilizar al alumno para que identifique que cualquier actuación de los poderes públicos está sometida al principio de legalidad, lo que hace indispensable el conocimiento del marco jurídico mediante el cual ejercen su función los servidores públicos, y por tanto, los actos de autoridad. </w:t>
      </w:r>
    </w:p>
    <w:p w14:paraId="540E711C" w14:textId="77777777" w:rsidR="00414266" w:rsidRPr="00414266" w:rsidRDefault="00414266" w:rsidP="00414266">
      <w:pPr>
        <w:jc w:val="both"/>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Al final del curso, el alumno será capaz de aplicar el marco de referencia jurídico en el planteamiento y solución de situaciones concretas del ejercicio de la autoridad gubernamental en el orden estatal y municipal, así como participar en la definición de políticas públicas, en las que dicho marco es indispensable.</w:t>
      </w:r>
    </w:p>
    <w:p w14:paraId="56E11E7E" w14:textId="77777777" w:rsidR="00681B3C" w:rsidRDefault="006B70CD" w:rsidP="00681B3C">
      <w:pPr>
        <w:jc w:val="both"/>
        <w:rPr>
          <w:rFonts w:ascii="Dispatch-Black" w:hAnsi="Dispatch-Black" w:cstheme="minorHAnsi"/>
          <w:color w:val="3366FF"/>
          <w:sz w:val="28"/>
          <w:szCs w:val="28"/>
        </w:rPr>
      </w:pPr>
      <w:r>
        <w:rPr>
          <w:rFonts w:ascii="Dispatch-Black" w:hAnsi="Dispatch-Black" w:cstheme="minorHAnsi"/>
          <w:color w:val="3366FF"/>
          <w:sz w:val="28"/>
          <w:szCs w:val="28"/>
        </w:rPr>
        <w:t>Contenido Temático</w:t>
      </w:r>
    </w:p>
    <w:p w14:paraId="6F25B402" w14:textId="4FE73992"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UNIDAD I  El Estado, La Administr</w:t>
      </w:r>
      <w:r>
        <w:rPr>
          <w:rFonts w:ascii="Sansa-Normal" w:eastAsia="Times New Roman" w:hAnsi="Sansa-Normal" w:cstheme="minorHAnsi"/>
          <w:iCs/>
          <w:sz w:val="24"/>
          <w:szCs w:val="24"/>
        </w:rPr>
        <w:t>ación Pública y su Organización</w:t>
      </w:r>
    </w:p>
    <w:p w14:paraId="1477A52B" w14:textId="77777777" w:rsidR="00414266" w:rsidRPr="00414266" w:rsidRDefault="00414266" w:rsidP="00414266">
      <w:pPr>
        <w:rPr>
          <w:rFonts w:ascii="Sansa-Normal" w:eastAsia="Times New Roman" w:hAnsi="Sansa-Normal" w:cstheme="minorHAnsi"/>
          <w:b/>
          <w:iCs/>
          <w:sz w:val="24"/>
          <w:szCs w:val="24"/>
        </w:rPr>
      </w:pPr>
      <w:r w:rsidRPr="00414266">
        <w:rPr>
          <w:rFonts w:ascii="Sansa-Normal" w:eastAsia="Times New Roman" w:hAnsi="Sansa-Normal" w:cstheme="minorHAnsi"/>
          <w:b/>
          <w:iCs/>
          <w:sz w:val="24"/>
          <w:szCs w:val="24"/>
        </w:rPr>
        <w:t>El Estado y la Administración Pública</w:t>
      </w:r>
    </w:p>
    <w:p w14:paraId="4D082096"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El Estado y los Nuevos Paradigmas Gubernamentales.</w:t>
      </w:r>
    </w:p>
    <w:p w14:paraId="4BD6FCA6"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La Administración como Componente del Sistema Político.</w:t>
      </w:r>
    </w:p>
    <w:p w14:paraId="11A74433"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La Política y la Administración Pública.</w:t>
      </w:r>
    </w:p>
    <w:p w14:paraId="58F00E79"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Reformas de la Constitución de México en Materia Administrativa.</w:t>
      </w:r>
    </w:p>
    <w:p w14:paraId="0C682FC5"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Rasgos Trascendentes en Materia Administrativa en Constituciones de América Latina.</w:t>
      </w:r>
    </w:p>
    <w:p w14:paraId="13FD5D0E" w14:textId="77777777" w:rsidR="00414266" w:rsidRPr="00414266" w:rsidRDefault="00414266" w:rsidP="00414266">
      <w:pPr>
        <w:rPr>
          <w:rFonts w:ascii="Sansa-Normal" w:eastAsia="Times New Roman" w:hAnsi="Sansa-Normal" w:cstheme="minorHAnsi"/>
          <w:b/>
          <w:iCs/>
          <w:sz w:val="24"/>
          <w:szCs w:val="24"/>
        </w:rPr>
      </w:pPr>
      <w:r w:rsidRPr="00414266">
        <w:rPr>
          <w:rFonts w:ascii="Sansa-Normal" w:eastAsia="Times New Roman" w:hAnsi="Sansa-Normal" w:cstheme="minorHAnsi"/>
          <w:b/>
          <w:iCs/>
          <w:sz w:val="24"/>
          <w:szCs w:val="24"/>
        </w:rPr>
        <w:t>Organización de la Administración Pública</w:t>
      </w:r>
    </w:p>
    <w:p w14:paraId="79E7964F"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La Organización Administrativa Pública.</w:t>
      </w:r>
    </w:p>
    <w:p w14:paraId="447E45B1"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Administración Pública y Distribución de Facultades.</w:t>
      </w:r>
    </w:p>
    <w:p w14:paraId="3B446DD8"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Centralización, Descentralización y Desconcentración. Características y Régimen Jurídico.</w:t>
      </w:r>
    </w:p>
    <w:p w14:paraId="4B36C971"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Formas de Organización Complementarias.</w:t>
      </w:r>
    </w:p>
    <w:p w14:paraId="0FDAC2F4"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Límites del Poder y la Administración Pública.</w:t>
      </w:r>
    </w:p>
    <w:p w14:paraId="5675C861" w14:textId="77777777" w:rsidR="00414266" w:rsidRPr="00414266" w:rsidRDefault="00414266" w:rsidP="00414266">
      <w:pPr>
        <w:rPr>
          <w:rFonts w:ascii="Sansa-Normal" w:eastAsia="Times New Roman" w:hAnsi="Sansa-Normal" w:cstheme="minorHAnsi"/>
          <w:iCs/>
          <w:sz w:val="24"/>
          <w:szCs w:val="24"/>
        </w:rPr>
      </w:pPr>
    </w:p>
    <w:p w14:paraId="17B3A374" w14:textId="74987B57" w:rsidR="00414266" w:rsidRPr="00414266" w:rsidRDefault="00414266" w:rsidP="00414266">
      <w:pPr>
        <w:rPr>
          <w:rFonts w:ascii="Sansa-Normal" w:eastAsia="Times New Roman" w:hAnsi="Sansa-Normal" w:cstheme="minorHAnsi"/>
          <w:b/>
          <w:iCs/>
          <w:sz w:val="24"/>
          <w:szCs w:val="24"/>
        </w:rPr>
      </w:pPr>
      <w:r w:rsidRPr="00414266">
        <w:rPr>
          <w:rFonts w:ascii="Sansa-Normal" w:eastAsia="Times New Roman" w:hAnsi="Sansa-Normal" w:cstheme="minorHAnsi"/>
          <w:b/>
          <w:iCs/>
          <w:sz w:val="24"/>
          <w:szCs w:val="24"/>
        </w:rPr>
        <w:t>UNIDAD II  Derecho Público y Planeación para el Desarrollo</w:t>
      </w:r>
    </w:p>
    <w:p w14:paraId="61924E1D"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Derecho Público y la Responsabilidad de los Servidores Públicos</w:t>
      </w:r>
    </w:p>
    <w:p w14:paraId="44CB987C"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Estructura Administrativa de los Estados.</w:t>
      </w:r>
    </w:p>
    <w:p w14:paraId="51A5A0BE"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Estructura Administrativa de los Municipios.</w:t>
      </w:r>
    </w:p>
    <w:p w14:paraId="5A146EBD"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Funciones del Ayuntamiento.</w:t>
      </w:r>
    </w:p>
    <w:p w14:paraId="5CE94112"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Funciones de los Síndicos.</w:t>
      </w:r>
    </w:p>
    <w:p w14:paraId="7B722567"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Funciones de los Regidores.</w:t>
      </w:r>
    </w:p>
    <w:p w14:paraId="6511E6C3"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De la Responsabilidad de los Servidores Públicos.</w:t>
      </w:r>
    </w:p>
    <w:p w14:paraId="7ACEBAE7"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¿Qué es la Planeación para el Desarrollo?</w:t>
      </w:r>
    </w:p>
    <w:p w14:paraId="67E5179E"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Sistema de Planeación para el Desarrollo.</w:t>
      </w:r>
    </w:p>
    <w:p w14:paraId="5AC7F139"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Artículo 25 y 26 Constitucionales en la Materia de Planeación del Desarrollo.</w:t>
      </w:r>
    </w:p>
    <w:p w14:paraId="5251F1E6" w14:textId="3211CAE2" w:rsid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 xml:space="preserve">Importancia de los Sistemas de </w:t>
      </w:r>
      <w:r>
        <w:rPr>
          <w:rFonts w:ascii="Sansa-Normal" w:eastAsia="Times New Roman" w:hAnsi="Sansa-Normal" w:cstheme="minorHAnsi"/>
          <w:iCs/>
          <w:sz w:val="24"/>
          <w:szCs w:val="24"/>
        </w:rPr>
        <w:t>Información para la Planeación.</w:t>
      </w:r>
    </w:p>
    <w:p w14:paraId="0ED24DBD" w14:textId="77777777" w:rsidR="00414266" w:rsidRPr="00414266" w:rsidRDefault="00414266" w:rsidP="00414266">
      <w:pPr>
        <w:rPr>
          <w:rFonts w:ascii="Sansa-Normal" w:eastAsia="Times New Roman" w:hAnsi="Sansa-Normal" w:cstheme="minorHAnsi"/>
          <w:iCs/>
          <w:sz w:val="24"/>
          <w:szCs w:val="24"/>
        </w:rPr>
      </w:pPr>
    </w:p>
    <w:p w14:paraId="7552CF4B" w14:textId="6FA101E3" w:rsidR="00414266" w:rsidRPr="00414266" w:rsidRDefault="00414266" w:rsidP="00414266">
      <w:pPr>
        <w:rPr>
          <w:rFonts w:ascii="Sansa-Normal" w:eastAsia="Times New Roman" w:hAnsi="Sansa-Normal" w:cstheme="minorHAnsi"/>
          <w:b/>
          <w:iCs/>
          <w:sz w:val="24"/>
          <w:szCs w:val="24"/>
        </w:rPr>
      </w:pPr>
      <w:r w:rsidRPr="00414266">
        <w:rPr>
          <w:rFonts w:ascii="Sansa-Normal" w:eastAsia="Times New Roman" w:hAnsi="Sansa-Normal" w:cstheme="minorHAnsi"/>
          <w:b/>
          <w:iCs/>
          <w:sz w:val="24"/>
          <w:szCs w:val="24"/>
        </w:rPr>
        <w:t>UNIDAD III  Administración de Recursos Financieros y Materiales</w:t>
      </w:r>
    </w:p>
    <w:p w14:paraId="04E778C5"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Administración de Recursos Financieros</w:t>
      </w:r>
    </w:p>
    <w:p w14:paraId="3F10CF3F"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Fuentes de Ingreso del Estado.</w:t>
      </w:r>
    </w:p>
    <w:p w14:paraId="02EB67C7"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Obligación Tributaria Constitucional (artículo 31).</w:t>
      </w:r>
    </w:p>
    <w:p w14:paraId="1BF8E023"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Ley de Ingresos. Proceso de Creación, Finalidades, Conceptos y Requisitos.</w:t>
      </w:r>
    </w:p>
    <w:p w14:paraId="35BB63F4"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Presupuestos de Egresos.</w:t>
      </w:r>
    </w:p>
    <w:p w14:paraId="70F64BD3"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Deuda Pública. Concepto. Tipos.</w:t>
      </w:r>
    </w:p>
    <w:p w14:paraId="33C7C2BB" w14:textId="77777777" w:rsid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Administración de Recursos Materiales</w:t>
      </w:r>
    </w:p>
    <w:p w14:paraId="34FD1145" w14:textId="77777777" w:rsidR="00414266" w:rsidRDefault="00414266" w:rsidP="00414266">
      <w:pPr>
        <w:rPr>
          <w:rFonts w:ascii="Sansa-Normal" w:eastAsia="Times New Roman" w:hAnsi="Sansa-Normal" w:cstheme="minorHAnsi"/>
          <w:iCs/>
          <w:sz w:val="24"/>
          <w:szCs w:val="24"/>
        </w:rPr>
      </w:pPr>
    </w:p>
    <w:p w14:paraId="6B8C5416" w14:textId="77777777" w:rsidR="00414266" w:rsidRPr="00414266" w:rsidRDefault="00414266" w:rsidP="00414266">
      <w:pPr>
        <w:rPr>
          <w:rFonts w:ascii="Sansa-Normal" w:eastAsia="Times New Roman" w:hAnsi="Sansa-Normal" w:cstheme="minorHAnsi"/>
          <w:iCs/>
          <w:sz w:val="24"/>
          <w:szCs w:val="24"/>
        </w:rPr>
      </w:pPr>
    </w:p>
    <w:p w14:paraId="11865B20"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Ley de Adquisiciones, Arrendamientos y Servicios del Sector Público. Previsiones Generales de la Misma.</w:t>
      </w:r>
    </w:p>
    <w:p w14:paraId="6A629045"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Programación de Adquisiciones y Contrataciones.</w:t>
      </w:r>
    </w:p>
    <w:p w14:paraId="6245A95D"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 xml:space="preserve">Comité de Adquisiciones. </w:t>
      </w:r>
    </w:p>
    <w:p w14:paraId="257F501E"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Adjudicación Directa.</w:t>
      </w:r>
    </w:p>
    <w:p w14:paraId="203167FE"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Naturaleza del Contrato Celebrado por la Administración Pública.</w:t>
      </w:r>
    </w:p>
    <w:p w14:paraId="226F2DA1"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 xml:space="preserve">Administración y Enajenación de Bienes Públicos. </w:t>
      </w:r>
    </w:p>
    <w:p w14:paraId="1E362F5D" w14:textId="77777777" w:rsidR="00414266" w:rsidRPr="00414266" w:rsidRDefault="00414266" w:rsidP="00414266">
      <w:pPr>
        <w:rPr>
          <w:rFonts w:ascii="Sansa-Normal" w:eastAsia="Times New Roman" w:hAnsi="Sansa-Normal" w:cstheme="minorHAnsi"/>
          <w:iCs/>
          <w:sz w:val="24"/>
          <w:szCs w:val="24"/>
        </w:rPr>
      </w:pPr>
    </w:p>
    <w:p w14:paraId="35A6724F" w14:textId="126E606E" w:rsidR="00414266" w:rsidRPr="00414266" w:rsidRDefault="00414266" w:rsidP="00414266">
      <w:pPr>
        <w:rPr>
          <w:rFonts w:ascii="Sansa-Normal" w:eastAsia="Times New Roman" w:hAnsi="Sansa-Normal" w:cstheme="minorHAnsi"/>
          <w:b/>
          <w:iCs/>
          <w:sz w:val="24"/>
          <w:szCs w:val="24"/>
        </w:rPr>
      </w:pPr>
      <w:r w:rsidRPr="00414266">
        <w:rPr>
          <w:rFonts w:ascii="Sansa-Normal" w:eastAsia="Times New Roman" w:hAnsi="Sansa-Normal" w:cstheme="minorHAnsi"/>
          <w:b/>
          <w:iCs/>
          <w:sz w:val="24"/>
          <w:szCs w:val="24"/>
        </w:rPr>
        <w:t>UNIDAD IV  Control en el Sector Público y</w:t>
      </w:r>
      <w:r w:rsidRPr="00414266">
        <w:rPr>
          <w:rFonts w:ascii="Sansa-Normal" w:eastAsia="Times New Roman" w:hAnsi="Sansa-Normal" w:cstheme="minorHAnsi"/>
          <w:b/>
          <w:iCs/>
          <w:sz w:val="24"/>
          <w:szCs w:val="24"/>
        </w:rPr>
        <w:t xml:space="preserve"> la Administración de las ONGs.</w:t>
      </w:r>
    </w:p>
    <w:p w14:paraId="4D7C1AEA"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Formas de Control Externo</w:t>
      </w:r>
    </w:p>
    <w:p w14:paraId="2D215129"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Poder Legislativo y la Auditoría Superior de la Federación, Poder Judicial y el Control de la Legalidad.</w:t>
      </w:r>
    </w:p>
    <w:p w14:paraId="723356AD"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Instituciones de Transparencia y Acceso a la Información, Comisiones de Derechos Humanos.</w:t>
      </w:r>
    </w:p>
    <w:p w14:paraId="3691214F"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Formas de Control Interno</w:t>
      </w:r>
    </w:p>
    <w:p w14:paraId="78B7B447"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Responsabilidad Administrativa, Órganos Internos de Control, Recursos Administrativos, Secretaría de la Función Pública.</w:t>
      </w:r>
    </w:p>
    <w:p w14:paraId="3A8C0D2A" w14:textId="77777777" w:rsidR="00414266" w:rsidRP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Ética de la Acción Social, Marco Político, Derechos y Obligaciones de las ONGs.</w:t>
      </w:r>
    </w:p>
    <w:p w14:paraId="29E1EA63" w14:textId="77777777" w:rsidR="00414266" w:rsidRDefault="00414266" w:rsidP="00414266">
      <w:pPr>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Origen y Aplicación de Recursos, Comunicación Social, Manual de Procedimientos de las ONGs.</w:t>
      </w:r>
    </w:p>
    <w:p w14:paraId="2F762671" w14:textId="77777777" w:rsidR="00414266" w:rsidRDefault="00414266" w:rsidP="00414266">
      <w:pPr>
        <w:rPr>
          <w:rFonts w:ascii="Sansa-Normal" w:eastAsia="Times New Roman" w:hAnsi="Sansa-Normal" w:cstheme="minorHAnsi"/>
          <w:iCs/>
          <w:sz w:val="24"/>
          <w:szCs w:val="24"/>
        </w:rPr>
      </w:pPr>
    </w:p>
    <w:p w14:paraId="62AD9128" w14:textId="77777777" w:rsidR="00414266" w:rsidRDefault="00414266" w:rsidP="00414266">
      <w:pPr>
        <w:rPr>
          <w:rFonts w:ascii="Sansa-Normal" w:eastAsia="Times New Roman" w:hAnsi="Sansa-Normal" w:cstheme="minorHAnsi"/>
          <w:iCs/>
          <w:sz w:val="24"/>
          <w:szCs w:val="24"/>
        </w:rPr>
      </w:pPr>
    </w:p>
    <w:p w14:paraId="37A69465" w14:textId="77777777" w:rsidR="00414266" w:rsidRDefault="00414266" w:rsidP="00414266">
      <w:pPr>
        <w:rPr>
          <w:rFonts w:ascii="Sansa-Normal" w:eastAsia="Times New Roman" w:hAnsi="Sansa-Normal" w:cstheme="minorHAnsi"/>
          <w:iCs/>
          <w:sz w:val="24"/>
          <w:szCs w:val="24"/>
        </w:rPr>
      </w:pPr>
    </w:p>
    <w:p w14:paraId="0C97B538" w14:textId="77777777" w:rsidR="00414266" w:rsidRDefault="00414266" w:rsidP="00414266">
      <w:pPr>
        <w:rPr>
          <w:rFonts w:ascii="Sansa-Normal" w:eastAsia="Times New Roman" w:hAnsi="Sansa-Normal" w:cstheme="minorHAnsi"/>
          <w:iCs/>
          <w:sz w:val="24"/>
          <w:szCs w:val="24"/>
        </w:rPr>
      </w:pPr>
    </w:p>
    <w:p w14:paraId="330FE69B" w14:textId="77777777" w:rsidR="00414266" w:rsidRPr="00414266" w:rsidRDefault="00414266" w:rsidP="00414266">
      <w:pPr>
        <w:rPr>
          <w:rFonts w:ascii="Sansa-Normal" w:eastAsia="Times New Roman" w:hAnsi="Sansa-Normal" w:cstheme="minorHAnsi"/>
          <w:iCs/>
          <w:sz w:val="24"/>
          <w:szCs w:val="24"/>
        </w:rPr>
      </w:pPr>
    </w:p>
    <w:p w14:paraId="0F9A681D" w14:textId="56BC56EB" w:rsidR="000E3AF1" w:rsidRDefault="000E3AF1" w:rsidP="0052056B">
      <w:pPr>
        <w:rPr>
          <w:noProof/>
          <w:sz w:val="24"/>
          <w:szCs w:val="24"/>
          <w:lang w:val="es-ES" w:eastAsia="es-ES"/>
        </w:rPr>
      </w:pPr>
      <w:r w:rsidRPr="000E3AF1">
        <w:rPr>
          <w:rFonts w:ascii="Dispatch-Black" w:hAnsi="Dispatch-Black" w:cstheme="minorHAnsi"/>
          <w:color w:val="3366FF"/>
          <w:sz w:val="28"/>
          <w:szCs w:val="28"/>
        </w:rPr>
        <w:t xml:space="preserve">Evaluación </w:t>
      </w:r>
      <w:r w:rsidR="006B70CD">
        <w:rPr>
          <w:rFonts w:ascii="Dispatch-Black" w:hAnsi="Dispatch-Black" w:cstheme="minorHAnsi"/>
          <w:color w:val="3366FF"/>
          <w:sz w:val="28"/>
          <w:szCs w:val="28"/>
        </w:rPr>
        <w:t>General</w:t>
      </w:r>
    </w:p>
    <w:p w14:paraId="7EAB9538" w14:textId="2E040E36" w:rsidR="00414266" w:rsidRPr="00414266" w:rsidRDefault="00414266" w:rsidP="00414266">
      <w:pPr>
        <w:jc w:val="both"/>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Para reportar tu calificación final obtenida de la suma de porcentajes de unidad, deberás haber cumplido de forma obligatoria  con la realiza</w:t>
      </w:r>
      <w:r>
        <w:rPr>
          <w:rFonts w:ascii="Sansa-Normal" w:eastAsia="Times New Roman" w:hAnsi="Sansa-Normal" w:cstheme="minorHAnsi"/>
          <w:iCs/>
          <w:sz w:val="24"/>
          <w:szCs w:val="24"/>
        </w:rPr>
        <w:t>ción o entrega de lo siguiente:</w:t>
      </w:r>
    </w:p>
    <w:p w14:paraId="17887A16" w14:textId="77777777" w:rsidR="00414266" w:rsidRPr="00414266" w:rsidRDefault="00414266" w:rsidP="00414266">
      <w:pPr>
        <w:jc w:val="both"/>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 xml:space="preserve">Desarrollo de las lecciones. </w:t>
      </w:r>
    </w:p>
    <w:p w14:paraId="69C05177" w14:textId="77777777" w:rsidR="00414266" w:rsidRPr="00414266" w:rsidRDefault="00414266" w:rsidP="00414266">
      <w:pPr>
        <w:jc w:val="both"/>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 xml:space="preserve">Responder a todos los cuestionarios de evaluación por unidad. </w:t>
      </w:r>
    </w:p>
    <w:p w14:paraId="12023A45" w14:textId="77777777" w:rsidR="00414266" w:rsidRPr="00414266" w:rsidRDefault="00414266" w:rsidP="00414266">
      <w:pPr>
        <w:jc w:val="both"/>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Realizar y entregar dentro del tiempo establecido el Proyecto Final.</w:t>
      </w:r>
    </w:p>
    <w:p w14:paraId="6C7C92F1" w14:textId="1F1EC404" w:rsidR="00414266" w:rsidRPr="00414266" w:rsidRDefault="00414266" w:rsidP="00414266">
      <w:pPr>
        <w:jc w:val="both"/>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w:t>
      </w:r>
      <w:r w:rsidRPr="00414266">
        <w:rPr>
          <w:rFonts w:ascii="Sansa-Normal" w:eastAsia="Times New Roman" w:hAnsi="Sansa-Normal" w:cstheme="minorHAnsi"/>
          <w:iCs/>
          <w:sz w:val="24"/>
          <w:szCs w:val="24"/>
        </w:rPr>
        <w:tab/>
        <w:t>R</w:t>
      </w:r>
      <w:r>
        <w:rPr>
          <w:rFonts w:ascii="Sansa-Normal" w:eastAsia="Times New Roman" w:hAnsi="Sansa-Normal" w:cstheme="minorHAnsi"/>
          <w:iCs/>
          <w:sz w:val="24"/>
          <w:szCs w:val="24"/>
        </w:rPr>
        <w:t>esponder a la Evaluación Final.</w:t>
      </w:r>
    </w:p>
    <w:p w14:paraId="57CB812C" w14:textId="16320965" w:rsidR="00414266" w:rsidRPr="00414266" w:rsidRDefault="00414266" w:rsidP="00414266">
      <w:pPr>
        <w:jc w:val="both"/>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La falta de cualquiera de estos requerimientos causará</w:t>
      </w:r>
      <w:r>
        <w:rPr>
          <w:rFonts w:ascii="Sansa-Normal" w:eastAsia="Times New Roman" w:hAnsi="Sansa-Normal" w:cstheme="minorHAnsi"/>
          <w:iCs/>
          <w:sz w:val="24"/>
          <w:szCs w:val="24"/>
        </w:rPr>
        <w:t xml:space="preserve"> la no acreditación del curso. </w:t>
      </w:r>
    </w:p>
    <w:p w14:paraId="53605C16" w14:textId="7A5281D3" w:rsidR="00271417" w:rsidRPr="00681B3C" w:rsidRDefault="00414266" w:rsidP="00681B3C">
      <w:pPr>
        <w:jc w:val="both"/>
        <w:rPr>
          <w:rFonts w:ascii="Sansa-Normal" w:eastAsia="Times New Roman" w:hAnsi="Sansa-Normal" w:cstheme="minorHAnsi"/>
          <w:iCs/>
          <w:sz w:val="24"/>
          <w:szCs w:val="24"/>
        </w:rPr>
      </w:pPr>
      <w:r w:rsidRPr="00414266">
        <w:rPr>
          <w:rFonts w:ascii="Sansa-Normal" w:eastAsia="Times New Roman" w:hAnsi="Sansa-Normal" w:cstheme="minorHAnsi"/>
          <w:iCs/>
          <w:sz w:val="24"/>
          <w:szCs w:val="24"/>
        </w:rPr>
        <w:t xml:space="preserve">En caso de no acreditar el curso en periodo ordinario con una calificación igual o mayor a 70,  tendrás que presentar una evaluación extraordinaria integrada por: un examen de conocimiento y un proyecto, dando como total el 100% de la calificación del curso; en caso de no obtener una calificación aprobatoria tendrás que inscribirte para recursar la materia. </w:t>
      </w:r>
    </w:p>
    <w:p w14:paraId="782EF39C" w14:textId="77777777" w:rsidR="006B70CD" w:rsidRPr="006B70CD" w:rsidRDefault="006B70CD" w:rsidP="006B70CD">
      <w:pPr>
        <w:jc w:val="center"/>
        <w:rPr>
          <w:rFonts w:ascii="Sansa-Normal" w:eastAsia="Times New Roman" w:hAnsi="Sansa-Normal" w:cstheme="minorHAnsi"/>
          <w:iCs/>
          <w:sz w:val="24"/>
          <w:szCs w:val="24"/>
        </w:rPr>
      </w:pPr>
      <w:r w:rsidRPr="006B70CD">
        <w:rPr>
          <w:rFonts w:ascii="Sansa-Normal" w:eastAsia="Times New Roman" w:hAnsi="Sansa-Normal" w:cstheme="minorHAnsi"/>
          <w:iCs/>
          <w:sz w:val="24"/>
          <w:szCs w:val="24"/>
        </w:rPr>
        <w:t>RECUERDA QUE LA CALIFICACIÓN MÍNIMA APROBATORIA ES 70</w:t>
      </w:r>
    </w:p>
    <w:tbl>
      <w:tblPr>
        <w:tblStyle w:val="Listaclara-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2"/>
        <w:gridCol w:w="3702"/>
      </w:tblGrid>
      <w:tr w:rsidR="00414266" w:rsidRPr="002C25F6" w14:paraId="60CC145A" w14:textId="77777777" w:rsidTr="002C25F6">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3702" w:type="dxa"/>
          </w:tcPr>
          <w:p w14:paraId="5CFF31CB" w14:textId="77777777" w:rsidR="00414266" w:rsidRPr="002C25F6" w:rsidRDefault="00414266" w:rsidP="00297705">
            <w:pPr>
              <w:jc w:val="center"/>
              <w:rPr>
                <w:rFonts w:ascii="Sansa-Normal" w:hAnsi="Sansa-Normal" w:cstheme="minorHAnsi"/>
                <w:color w:val="000000" w:themeColor="text1"/>
              </w:rPr>
            </w:pPr>
            <w:r w:rsidRPr="002C25F6">
              <w:rPr>
                <w:rFonts w:ascii="Sansa-Normal" w:hAnsi="Sansa-Normal" w:cstheme="minorHAnsi"/>
                <w:color w:val="000000" w:themeColor="text1"/>
              </w:rPr>
              <w:t xml:space="preserve">EVALUACIÓN </w:t>
            </w:r>
          </w:p>
        </w:tc>
        <w:tc>
          <w:tcPr>
            <w:tcW w:w="3702" w:type="dxa"/>
          </w:tcPr>
          <w:p w14:paraId="452613A2" w14:textId="77777777" w:rsidR="00414266" w:rsidRPr="002C25F6" w:rsidRDefault="00414266" w:rsidP="00297705">
            <w:pPr>
              <w:jc w:val="center"/>
              <w:cnfStyle w:val="100000000000" w:firstRow="1" w:lastRow="0" w:firstColumn="0" w:lastColumn="0" w:oddVBand="0" w:evenVBand="0" w:oddHBand="0" w:evenHBand="0" w:firstRowFirstColumn="0" w:firstRowLastColumn="0" w:lastRowFirstColumn="0" w:lastRowLastColumn="0"/>
              <w:rPr>
                <w:rFonts w:ascii="Sansa-Normal" w:hAnsi="Sansa-Normal" w:cstheme="minorHAnsi"/>
                <w:color w:val="000000" w:themeColor="text1"/>
              </w:rPr>
            </w:pPr>
            <w:r w:rsidRPr="002C25F6">
              <w:rPr>
                <w:rFonts w:ascii="Sansa-Normal" w:hAnsi="Sansa-Normal" w:cstheme="minorHAnsi"/>
                <w:color w:val="000000" w:themeColor="text1"/>
              </w:rPr>
              <w:t>PUNTOS</w:t>
            </w:r>
          </w:p>
        </w:tc>
      </w:tr>
      <w:tr w:rsidR="00414266" w:rsidRPr="002C25F6" w14:paraId="706F9C52" w14:textId="77777777" w:rsidTr="002C25F6">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702" w:type="dxa"/>
            <w:tcBorders>
              <w:top w:val="none" w:sz="0" w:space="0" w:color="auto"/>
              <w:left w:val="none" w:sz="0" w:space="0" w:color="auto"/>
              <w:bottom w:val="none" w:sz="0" w:space="0" w:color="auto"/>
            </w:tcBorders>
          </w:tcPr>
          <w:p w14:paraId="1035AD1F" w14:textId="77777777" w:rsidR="00414266" w:rsidRPr="002C25F6" w:rsidRDefault="00414266" w:rsidP="00297705">
            <w:pPr>
              <w:jc w:val="center"/>
              <w:rPr>
                <w:rFonts w:ascii="Sansa-Normal" w:hAnsi="Sansa-Normal" w:cstheme="minorHAnsi"/>
                <w:b w:val="0"/>
                <w:color w:val="000000" w:themeColor="text1"/>
              </w:rPr>
            </w:pPr>
            <w:r w:rsidRPr="002C25F6">
              <w:rPr>
                <w:rFonts w:ascii="Sansa-Normal" w:hAnsi="Sansa-Normal" w:cstheme="minorHAnsi"/>
                <w:color w:val="000000" w:themeColor="text1"/>
              </w:rPr>
              <w:t>UNIDAD 1</w:t>
            </w:r>
          </w:p>
        </w:tc>
        <w:tc>
          <w:tcPr>
            <w:tcW w:w="3702" w:type="dxa"/>
            <w:tcBorders>
              <w:top w:val="none" w:sz="0" w:space="0" w:color="auto"/>
              <w:bottom w:val="none" w:sz="0" w:space="0" w:color="auto"/>
              <w:right w:val="none" w:sz="0" w:space="0" w:color="auto"/>
            </w:tcBorders>
          </w:tcPr>
          <w:p w14:paraId="763F2B5E" w14:textId="77777777" w:rsidR="00414266" w:rsidRPr="002C25F6" w:rsidRDefault="00414266" w:rsidP="00297705">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000000" w:themeColor="text1"/>
              </w:rPr>
            </w:pPr>
            <w:r w:rsidRPr="002C25F6">
              <w:rPr>
                <w:rFonts w:ascii="Sansa-Normal" w:hAnsi="Sansa-Normal" w:cstheme="minorHAnsi"/>
                <w:color w:val="000000" w:themeColor="text1"/>
              </w:rPr>
              <w:t>15</w:t>
            </w:r>
          </w:p>
        </w:tc>
      </w:tr>
      <w:tr w:rsidR="00414266" w:rsidRPr="002C25F6" w14:paraId="1FF0BC66" w14:textId="77777777" w:rsidTr="002C25F6">
        <w:trPr>
          <w:trHeight w:val="310"/>
          <w:jc w:val="center"/>
        </w:trPr>
        <w:tc>
          <w:tcPr>
            <w:cnfStyle w:val="001000000000" w:firstRow="0" w:lastRow="0" w:firstColumn="1" w:lastColumn="0" w:oddVBand="0" w:evenVBand="0" w:oddHBand="0" w:evenHBand="0" w:firstRowFirstColumn="0" w:firstRowLastColumn="0" w:lastRowFirstColumn="0" w:lastRowLastColumn="0"/>
            <w:tcW w:w="3702" w:type="dxa"/>
          </w:tcPr>
          <w:p w14:paraId="04CCFAA4" w14:textId="77777777" w:rsidR="00414266" w:rsidRPr="002C25F6" w:rsidRDefault="00414266" w:rsidP="00297705">
            <w:pPr>
              <w:jc w:val="center"/>
              <w:rPr>
                <w:rFonts w:ascii="Sansa-Normal" w:hAnsi="Sansa-Normal" w:cstheme="minorHAnsi"/>
                <w:b w:val="0"/>
                <w:color w:val="000000" w:themeColor="text1"/>
              </w:rPr>
            </w:pPr>
            <w:r w:rsidRPr="002C25F6">
              <w:rPr>
                <w:rFonts w:ascii="Sansa-Normal" w:hAnsi="Sansa-Normal" w:cstheme="minorHAnsi"/>
                <w:color w:val="000000" w:themeColor="text1"/>
              </w:rPr>
              <w:t>UNIDAD 2</w:t>
            </w:r>
          </w:p>
        </w:tc>
        <w:tc>
          <w:tcPr>
            <w:tcW w:w="3702" w:type="dxa"/>
          </w:tcPr>
          <w:p w14:paraId="46B81B00" w14:textId="77777777" w:rsidR="00414266" w:rsidRPr="002C25F6" w:rsidRDefault="00414266" w:rsidP="00297705">
            <w:pPr>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color w:val="000000" w:themeColor="text1"/>
              </w:rPr>
            </w:pPr>
            <w:r w:rsidRPr="002C25F6">
              <w:rPr>
                <w:rFonts w:ascii="Sansa-Normal" w:hAnsi="Sansa-Normal" w:cstheme="minorHAnsi"/>
                <w:color w:val="000000" w:themeColor="text1"/>
              </w:rPr>
              <w:t>15</w:t>
            </w:r>
          </w:p>
        </w:tc>
      </w:tr>
      <w:tr w:rsidR="00414266" w:rsidRPr="002C25F6" w14:paraId="13CB44E0" w14:textId="77777777" w:rsidTr="002C25F6">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3702" w:type="dxa"/>
            <w:tcBorders>
              <w:top w:val="none" w:sz="0" w:space="0" w:color="auto"/>
              <w:left w:val="none" w:sz="0" w:space="0" w:color="auto"/>
              <w:bottom w:val="none" w:sz="0" w:space="0" w:color="auto"/>
            </w:tcBorders>
          </w:tcPr>
          <w:p w14:paraId="71785005" w14:textId="77777777" w:rsidR="00414266" w:rsidRPr="002C25F6" w:rsidRDefault="00414266" w:rsidP="00297705">
            <w:pPr>
              <w:jc w:val="center"/>
              <w:rPr>
                <w:rFonts w:ascii="Sansa-Normal" w:hAnsi="Sansa-Normal" w:cstheme="minorHAnsi"/>
                <w:b w:val="0"/>
                <w:color w:val="000000" w:themeColor="text1"/>
              </w:rPr>
            </w:pPr>
            <w:r w:rsidRPr="002C25F6">
              <w:rPr>
                <w:rFonts w:ascii="Sansa-Normal" w:hAnsi="Sansa-Normal" w:cstheme="minorHAnsi"/>
                <w:color w:val="000000" w:themeColor="text1"/>
              </w:rPr>
              <w:t>UNIDAD 3</w:t>
            </w:r>
          </w:p>
        </w:tc>
        <w:tc>
          <w:tcPr>
            <w:tcW w:w="3702" w:type="dxa"/>
            <w:tcBorders>
              <w:top w:val="none" w:sz="0" w:space="0" w:color="auto"/>
              <w:bottom w:val="none" w:sz="0" w:space="0" w:color="auto"/>
              <w:right w:val="none" w:sz="0" w:space="0" w:color="auto"/>
            </w:tcBorders>
          </w:tcPr>
          <w:p w14:paraId="2FA2CE26" w14:textId="77777777" w:rsidR="00414266" w:rsidRPr="002C25F6" w:rsidRDefault="00414266" w:rsidP="00297705">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000000" w:themeColor="text1"/>
              </w:rPr>
            </w:pPr>
            <w:r w:rsidRPr="002C25F6">
              <w:rPr>
                <w:rFonts w:ascii="Sansa-Normal" w:hAnsi="Sansa-Normal" w:cstheme="minorHAnsi"/>
                <w:color w:val="000000" w:themeColor="text1"/>
              </w:rPr>
              <w:t>15</w:t>
            </w:r>
          </w:p>
        </w:tc>
      </w:tr>
      <w:tr w:rsidR="00414266" w:rsidRPr="002C25F6" w14:paraId="61F5BE09" w14:textId="77777777" w:rsidTr="002C25F6">
        <w:trPr>
          <w:trHeight w:val="310"/>
          <w:jc w:val="center"/>
        </w:trPr>
        <w:tc>
          <w:tcPr>
            <w:cnfStyle w:val="001000000000" w:firstRow="0" w:lastRow="0" w:firstColumn="1" w:lastColumn="0" w:oddVBand="0" w:evenVBand="0" w:oddHBand="0" w:evenHBand="0" w:firstRowFirstColumn="0" w:firstRowLastColumn="0" w:lastRowFirstColumn="0" w:lastRowLastColumn="0"/>
            <w:tcW w:w="3702" w:type="dxa"/>
          </w:tcPr>
          <w:p w14:paraId="781DFA45" w14:textId="77777777" w:rsidR="00414266" w:rsidRPr="002C25F6" w:rsidRDefault="00414266" w:rsidP="00297705">
            <w:pPr>
              <w:jc w:val="center"/>
              <w:rPr>
                <w:rFonts w:ascii="Sansa-Normal" w:hAnsi="Sansa-Normal" w:cstheme="minorHAnsi"/>
                <w:b w:val="0"/>
                <w:color w:val="000000" w:themeColor="text1"/>
              </w:rPr>
            </w:pPr>
            <w:r w:rsidRPr="002C25F6">
              <w:rPr>
                <w:rFonts w:ascii="Sansa-Normal" w:hAnsi="Sansa-Normal" w:cstheme="minorHAnsi"/>
                <w:color w:val="000000" w:themeColor="text1"/>
              </w:rPr>
              <w:t>UNIDAD 4</w:t>
            </w:r>
          </w:p>
        </w:tc>
        <w:tc>
          <w:tcPr>
            <w:tcW w:w="3702" w:type="dxa"/>
          </w:tcPr>
          <w:p w14:paraId="31173269" w14:textId="77777777" w:rsidR="00414266" w:rsidRPr="002C25F6" w:rsidRDefault="00414266" w:rsidP="00297705">
            <w:pPr>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color w:val="000000" w:themeColor="text1"/>
              </w:rPr>
            </w:pPr>
            <w:r w:rsidRPr="002C25F6">
              <w:rPr>
                <w:rFonts w:ascii="Sansa-Normal" w:hAnsi="Sansa-Normal" w:cstheme="minorHAnsi"/>
                <w:color w:val="000000" w:themeColor="text1"/>
              </w:rPr>
              <w:t>15</w:t>
            </w:r>
          </w:p>
        </w:tc>
      </w:tr>
      <w:tr w:rsidR="00414266" w:rsidRPr="002C25F6" w14:paraId="74EAB63F" w14:textId="77777777" w:rsidTr="002C25F6">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3702" w:type="dxa"/>
            <w:tcBorders>
              <w:top w:val="none" w:sz="0" w:space="0" w:color="auto"/>
              <w:left w:val="none" w:sz="0" w:space="0" w:color="auto"/>
              <w:bottom w:val="none" w:sz="0" w:space="0" w:color="auto"/>
            </w:tcBorders>
          </w:tcPr>
          <w:p w14:paraId="2B883B95" w14:textId="77777777" w:rsidR="00414266" w:rsidRPr="002C25F6" w:rsidRDefault="00414266" w:rsidP="00297705">
            <w:pPr>
              <w:jc w:val="center"/>
              <w:rPr>
                <w:rFonts w:ascii="Sansa-Normal" w:hAnsi="Sansa-Normal" w:cstheme="minorHAnsi"/>
                <w:color w:val="000000" w:themeColor="text1"/>
              </w:rPr>
            </w:pPr>
            <w:r w:rsidRPr="002C25F6">
              <w:rPr>
                <w:rFonts w:ascii="Sansa-Normal" w:hAnsi="Sansa-Normal" w:cstheme="minorHAnsi"/>
                <w:color w:val="000000" w:themeColor="text1"/>
              </w:rPr>
              <w:t>PROYECTO FINAL</w:t>
            </w:r>
          </w:p>
        </w:tc>
        <w:tc>
          <w:tcPr>
            <w:tcW w:w="3702" w:type="dxa"/>
            <w:tcBorders>
              <w:top w:val="none" w:sz="0" w:space="0" w:color="auto"/>
              <w:bottom w:val="none" w:sz="0" w:space="0" w:color="auto"/>
              <w:right w:val="none" w:sz="0" w:space="0" w:color="auto"/>
            </w:tcBorders>
          </w:tcPr>
          <w:p w14:paraId="24629494" w14:textId="77777777" w:rsidR="00414266" w:rsidRPr="002C25F6" w:rsidRDefault="00414266" w:rsidP="00297705">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000000" w:themeColor="text1"/>
              </w:rPr>
            </w:pPr>
            <w:r w:rsidRPr="002C25F6">
              <w:rPr>
                <w:rFonts w:ascii="Sansa-Normal" w:hAnsi="Sansa-Normal" w:cstheme="minorHAnsi"/>
                <w:color w:val="000000" w:themeColor="text1"/>
              </w:rPr>
              <w:t>20</w:t>
            </w:r>
          </w:p>
        </w:tc>
      </w:tr>
      <w:tr w:rsidR="00414266" w:rsidRPr="002C25F6" w14:paraId="76A2E3C8" w14:textId="77777777" w:rsidTr="002C25F6">
        <w:trPr>
          <w:trHeight w:val="307"/>
          <w:jc w:val="center"/>
        </w:trPr>
        <w:tc>
          <w:tcPr>
            <w:cnfStyle w:val="001000000000" w:firstRow="0" w:lastRow="0" w:firstColumn="1" w:lastColumn="0" w:oddVBand="0" w:evenVBand="0" w:oddHBand="0" w:evenHBand="0" w:firstRowFirstColumn="0" w:firstRowLastColumn="0" w:lastRowFirstColumn="0" w:lastRowLastColumn="0"/>
            <w:tcW w:w="3702" w:type="dxa"/>
          </w:tcPr>
          <w:p w14:paraId="6B5E8FD6" w14:textId="77777777" w:rsidR="00414266" w:rsidRPr="002C25F6" w:rsidRDefault="00414266" w:rsidP="00297705">
            <w:pPr>
              <w:jc w:val="center"/>
              <w:rPr>
                <w:rFonts w:ascii="Sansa-Normal" w:hAnsi="Sansa-Normal" w:cstheme="minorHAnsi"/>
                <w:color w:val="000000" w:themeColor="text1"/>
              </w:rPr>
            </w:pPr>
            <w:r w:rsidRPr="002C25F6">
              <w:rPr>
                <w:rFonts w:ascii="Sansa-Normal" w:hAnsi="Sansa-Normal" w:cstheme="minorHAnsi"/>
                <w:color w:val="000000" w:themeColor="text1"/>
              </w:rPr>
              <w:t>EJERCICIOS DE PARTICIPACIÓN</w:t>
            </w:r>
          </w:p>
        </w:tc>
        <w:tc>
          <w:tcPr>
            <w:tcW w:w="3702" w:type="dxa"/>
          </w:tcPr>
          <w:p w14:paraId="25C0F5D0" w14:textId="77777777" w:rsidR="00414266" w:rsidRPr="002C25F6" w:rsidRDefault="00414266" w:rsidP="00297705">
            <w:pPr>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b/>
                <w:color w:val="000000" w:themeColor="text1"/>
              </w:rPr>
            </w:pPr>
            <w:r w:rsidRPr="002C25F6">
              <w:rPr>
                <w:rFonts w:ascii="Sansa-Normal" w:hAnsi="Sansa-Normal" w:cstheme="minorHAnsi"/>
                <w:color w:val="000000" w:themeColor="text1"/>
              </w:rPr>
              <w:t>10</w:t>
            </w:r>
          </w:p>
        </w:tc>
      </w:tr>
      <w:tr w:rsidR="00414266" w:rsidRPr="002C25F6" w14:paraId="451B4D50" w14:textId="77777777" w:rsidTr="002C25F6">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3702" w:type="dxa"/>
            <w:tcBorders>
              <w:top w:val="none" w:sz="0" w:space="0" w:color="auto"/>
              <w:left w:val="none" w:sz="0" w:space="0" w:color="auto"/>
              <w:bottom w:val="none" w:sz="0" w:space="0" w:color="auto"/>
            </w:tcBorders>
          </w:tcPr>
          <w:p w14:paraId="62096AD6" w14:textId="77777777" w:rsidR="00414266" w:rsidRPr="002C25F6" w:rsidRDefault="00414266" w:rsidP="00297705">
            <w:pPr>
              <w:jc w:val="center"/>
              <w:rPr>
                <w:rFonts w:ascii="Sansa-Normal" w:hAnsi="Sansa-Normal" w:cstheme="minorHAnsi"/>
                <w:color w:val="000000" w:themeColor="text1"/>
              </w:rPr>
            </w:pPr>
            <w:r w:rsidRPr="002C25F6">
              <w:rPr>
                <w:rFonts w:ascii="Sansa-Normal" w:hAnsi="Sansa-Normal" w:cstheme="minorHAnsi"/>
                <w:color w:val="000000" w:themeColor="text1"/>
              </w:rPr>
              <w:t>EVALUACIÓN DEL CONOCIMIENTO</w:t>
            </w:r>
          </w:p>
        </w:tc>
        <w:tc>
          <w:tcPr>
            <w:tcW w:w="3702" w:type="dxa"/>
            <w:tcBorders>
              <w:top w:val="none" w:sz="0" w:space="0" w:color="auto"/>
              <w:bottom w:val="none" w:sz="0" w:space="0" w:color="auto"/>
              <w:right w:val="none" w:sz="0" w:space="0" w:color="auto"/>
            </w:tcBorders>
          </w:tcPr>
          <w:p w14:paraId="1E548543" w14:textId="77777777" w:rsidR="00414266" w:rsidRPr="002C25F6" w:rsidRDefault="00414266" w:rsidP="00297705">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000000" w:themeColor="text1"/>
              </w:rPr>
            </w:pPr>
            <w:r w:rsidRPr="002C25F6">
              <w:rPr>
                <w:rFonts w:ascii="Sansa-Normal" w:hAnsi="Sansa-Normal" w:cstheme="minorHAnsi"/>
                <w:color w:val="000000" w:themeColor="text1"/>
              </w:rPr>
              <w:t>10</w:t>
            </w:r>
          </w:p>
          <w:p w14:paraId="2B8915EF" w14:textId="77777777" w:rsidR="00414266" w:rsidRPr="002C25F6" w:rsidRDefault="00414266" w:rsidP="00297705">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b/>
                <w:color w:val="000000" w:themeColor="text1"/>
              </w:rPr>
            </w:pPr>
          </w:p>
        </w:tc>
      </w:tr>
      <w:tr w:rsidR="00414266" w:rsidRPr="002C25F6" w14:paraId="207F6A62" w14:textId="77777777" w:rsidTr="002C25F6">
        <w:trPr>
          <w:trHeight w:val="313"/>
          <w:jc w:val="center"/>
        </w:trPr>
        <w:tc>
          <w:tcPr>
            <w:cnfStyle w:val="001000000000" w:firstRow="0" w:lastRow="0" w:firstColumn="1" w:lastColumn="0" w:oddVBand="0" w:evenVBand="0" w:oddHBand="0" w:evenHBand="0" w:firstRowFirstColumn="0" w:firstRowLastColumn="0" w:lastRowFirstColumn="0" w:lastRowLastColumn="0"/>
            <w:tcW w:w="3702" w:type="dxa"/>
          </w:tcPr>
          <w:p w14:paraId="4371C796" w14:textId="77777777" w:rsidR="00414266" w:rsidRPr="002C25F6" w:rsidRDefault="00414266" w:rsidP="00297705">
            <w:pPr>
              <w:jc w:val="center"/>
              <w:rPr>
                <w:rFonts w:ascii="Sansa-Normal" w:hAnsi="Sansa-Normal" w:cstheme="minorHAnsi"/>
                <w:b w:val="0"/>
                <w:color w:val="000000" w:themeColor="text1"/>
              </w:rPr>
            </w:pPr>
            <w:r w:rsidRPr="002C25F6">
              <w:rPr>
                <w:rFonts w:ascii="Sansa-Normal" w:hAnsi="Sansa-Normal" w:cstheme="minorHAnsi"/>
                <w:color w:val="000000" w:themeColor="text1"/>
              </w:rPr>
              <w:t>TOTAL</w:t>
            </w:r>
          </w:p>
        </w:tc>
        <w:tc>
          <w:tcPr>
            <w:tcW w:w="3702" w:type="dxa"/>
          </w:tcPr>
          <w:p w14:paraId="7F0290F1" w14:textId="77777777" w:rsidR="00414266" w:rsidRPr="002C25F6" w:rsidRDefault="00414266" w:rsidP="00297705">
            <w:pPr>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b/>
                <w:color w:val="000000" w:themeColor="text1"/>
              </w:rPr>
            </w:pPr>
            <w:r w:rsidRPr="002C25F6">
              <w:rPr>
                <w:rFonts w:ascii="Sansa-Normal" w:hAnsi="Sansa-Normal" w:cstheme="minorHAnsi"/>
                <w:b/>
                <w:color w:val="000000" w:themeColor="text1"/>
              </w:rPr>
              <w:t>100</w:t>
            </w:r>
          </w:p>
        </w:tc>
      </w:tr>
    </w:tbl>
    <w:p w14:paraId="087AAD74" w14:textId="4410BE43" w:rsidR="007852CE" w:rsidRDefault="00604987" w:rsidP="0052056B">
      <w:pPr>
        <w:rPr>
          <w:rFonts w:ascii="Dispatch-Black" w:hAnsi="Dispatch-Black" w:cstheme="minorHAnsi"/>
          <w:color w:val="3366FF"/>
          <w:sz w:val="28"/>
          <w:szCs w:val="28"/>
        </w:rPr>
      </w:pPr>
      <w:r>
        <w:rPr>
          <w:rFonts w:ascii="Dispatch-Black" w:hAnsi="Dispatch-Black" w:cstheme="minorHAnsi"/>
          <w:color w:val="3366FF"/>
          <w:sz w:val="28"/>
          <w:szCs w:val="28"/>
        </w:rPr>
        <w:t>Proyecto Final</w:t>
      </w:r>
    </w:p>
    <w:p w14:paraId="4A734AD1" w14:textId="77777777" w:rsidR="002C25F6" w:rsidRPr="002C25F6" w:rsidRDefault="002C25F6" w:rsidP="002C25F6">
      <w:pPr>
        <w:jc w:val="both"/>
        <w:rPr>
          <w:rFonts w:ascii="Sansa-Normal" w:hAnsi="Sansa-Normal"/>
          <w:sz w:val="24"/>
          <w:szCs w:val="24"/>
        </w:rPr>
      </w:pPr>
      <w:r w:rsidRPr="002C25F6">
        <w:rPr>
          <w:rFonts w:ascii="Sansa-Normal" w:hAnsi="Sansa-Normal"/>
          <w:sz w:val="24"/>
          <w:szCs w:val="24"/>
        </w:rPr>
        <w:t>En un documento de Word reporta el siguiente Proyecto a través de la Plataforma Virtual.</w:t>
      </w:r>
    </w:p>
    <w:p w14:paraId="440A1303" w14:textId="77777777" w:rsidR="002C25F6" w:rsidRPr="002C25F6" w:rsidRDefault="002C25F6" w:rsidP="002C25F6">
      <w:pPr>
        <w:jc w:val="both"/>
        <w:rPr>
          <w:rFonts w:ascii="Sansa-Normal" w:hAnsi="Sansa-Normal"/>
          <w:sz w:val="24"/>
          <w:szCs w:val="24"/>
        </w:rPr>
      </w:pPr>
      <w:r w:rsidRPr="002C25F6">
        <w:rPr>
          <w:rFonts w:ascii="Sansa-Normal" w:hAnsi="Sansa-Normal"/>
          <w:sz w:val="24"/>
          <w:szCs w:val="24"/>
        </w:rPr>
        <w:t>•</w:t>
      </w:r>
      <w:r w:rsidRPr="002C25F6">
        <w:rPr>
          <w:rFonts w:ascii="Sansa-Normal" w:hAnsi="Sansa-Normal"/>
          <w:sz w:val="24"/>
          <w:szCs w:val="24"/>
        </w:rPr>
        <w:tab/>
        <w:t>En la Lección dos, se desarrolló el tema La importancia de la Planeación Informática, puedes volver a recordar para que puedas hacer tu proyecto.</w:t>
      </w:r>
    </w:p>
    <w:p w14:paraId="748A8E9E" w14:textId="27FAAEBA" w:rsidR="002C25F6" w:rsidRPr="002C25F6" w:rsidRDefault="002C25F6" w:rsidP="002C25F6">
      <w:pPr>
        <w:jc w:val="both"/>
        <w:rPr>
          <w:rFonts w:ascii="Sansa-Normal" w:hAnsi="Sansa-Normal"/>
          <w:sz w:val="24"/>
          <w:szCs w:val="24"/>
        </w:rPr>
      </w:pPr>
      <w:r w:rsidRPr="002C25F6">
        <w:rPr>
          <w:rFonts w:ascii="Sansa-Normal" w:hAnsi="Sansa-Normal"/>
          <w:sz w:val="24"/>
          <w:szCs w:val="24"/>
        </w:rPr>
        <w:t>•</w:t>
      </w:r>
      <w:r w:rsidRPr="002C25F6">
        <w:rPr>
          <w:rFonts w:ascii="Sansa-Normal" w:hAnsi="Sansa-Normal"/>
          <w:sz w:val="24"/>
          <w:szCs w:val="24"/>
        </w:rPr>
        <w:tab/>
        <w:t>Pon en práctica tus conocimientos e imagina que tu meta es establecer una dependencia Administrativa Pública para un mejor futuro en México, donde puedas desarrollar tu creatividad y echar a andar tu iniciativa y conocimientos.</w:t>
      </w:r>
    </w:p>
    <w:p w14:paraId="028E4BB2" w14:textId="77777777" w:rsidR="002C25F6" w:rsidRPr="002C25F6" w:rsidRDefault="002C25F6" w:rsidP="002C25F6">
      <w:pPr>
        <w:jc w:val="both"/>
        <w:rPr>
          <w:rFonts w:ascii="Sansa-Normal" w:hAnsi="Sansa-Normal"/>
          <w:sz w:val="24"/>
          <w:szCs w:val="24"/>
        </w:rPr>
      </w:pPr>
      <w:r w:rsidRPr="002C25F6">
        <w:rPr>
          <w:rFonts w:ascii="Sansa-Normal" w:hAnsi="Sansa-Normal"/>
          <w:sz w:val="24"/>
          <w:szCs w:val="24"/>
        </w:rPr>
        <w:t>•</w:t>
      </w:r>
      <w:r w:rsidRPr="002C25F6">
        <w:rPr>
          <w:rFonts w:ascii="Sansa-Normal" w:hAnsi="Sansa-Normal"/>
          <w:sz w:val="24"/>
          <w:szCs w:val="24"/>
        </w:rPr>
        <w:tab/>
        <w:t xml:space="preserve">Desarrolla cada uno de los elementos de la Planeación Estratégica para obtener un proyecto dirigido a las dependencias de Administraciones Públicas que en un tiempo determinado sea una propuesta para mejorar las áreas de oportunidad que tú como alumno logres detectar.  </w:t>
      </w:r>
    </w:p>
    <w:p w14:paraId="7DC87CC4" w14:textId="0D0EEC6D" w:rsidR="00604987" w:rsidRPr="00604987" w:rsidRDefault="00604987" w:rsidP="00604987">
      <w:pPr>
        <w:jc w:val="both"/>
        <w:rPr>
          <w:rFonts w:ascii="Sansa-Normal" w:hAnsi="Sansa-Normal"/>
          <w:sz w:val="24"/>
          <w:szCs w:val="24"/>
          <w:lang w:val="es-ES_tradnl"/>
        </w:rPr>
      </w:pPr>
      <w:r w:rsidRPr="00604987">
        <w:rPr>
          <w:rFonts w:ascii="Sansa-Normal" w:hAnsi="Sansa-Normal"/>
          <w:sz w:val="24"/>
          <w:szCs w:val="24"/>
          <w:lang w:val="es-ES_tradnl"/>
        </w:rPr>
        <w:t>Lista de Cotejo</w:t>
      </w:r>
    </w:p>
    <w:tbl>
      <w:tblPr>
        <w:tblStyle w:val="Listaclara-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tblGrid>
      <w:tr w:rsidR="002C25F6" w:rsidRPr="00452CA9" w14:paraId="315804C8" w14:textId="77777777" w:rsidTr="00452CA9">
        <w:trPr>
          <w:cnfStyle w:val="100000000000" w:firstRow="1" w:lastRow="0" w:firstColumn="0" w:lastColumn="0" w:oddVBand="0" w:evenVBand="0" w:oddHBand="0" w:evenHBand="0" w:firstRowFirstColumn="0" w:firstRowLastColumn="0" w:lastRowFirstColumn="0" w:lastRowLastColumn="0"/>
          <w:trHeight w:val="125"/>
          <w:jc w:val="center"/>
        </w:trPr>
        <w:tc>
          <w:tcPr>
            <w:cnfStyle w:val="001000000000" w:firstRow="0" w:lastRow="0" w:firstColumn="1" w:lastColumn="0" w:oddVBand="0" w:evenVBand="0" w:oddHBand="0" w:evenHBand="0" w:firstRowFirstColumn="0" w:firstRowLastColumn="0" w:lastRowFirstColumn="0" w:lastRowLastColumn="0"/>
            <w:tcW w:w="7479" w:type="dxa"/>
          </w:tcPr>
          <w:p w14:paraId="34516337" w14:textId="77777777" w:rsidR="002C25F6" w:rsidRPr="00452CA9" w:rsidRDefault="002C25F6" w:rsidP="00297705">
            <w:pPr>
              <w:jc w:val="center"/>
              <w:rPr>
                <w:rFonts w:ascii="Sansa-Normal" w:hAnsi="Sansa-Normal"/>
                <w:b w:val="0"/>
              </w:rPr>
            </w:pPr>
            <w:r w:rsidRPr="00452CA9">
              <w:rPr>
                <w:rFonts w:ascii="Sansa-Normal" w:hAnsi="Sansa-Normal"/>
              </w:rPr>
              <w:t>Elementos</w:t>
            </w:r>
          </w:p>
        </w:tc>
      </w:tr>
      <w:tr w:rsidR="002C25F6" w:rsidRPr="00452CA9" w14:paraId="6D9D9A87" w14:textId="77777777" w:rsidTr="00452CA9">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7479" w:type="dxa"/>
            <w:tcBorders>
              <w:top w:val="none" w:sz="0" w:space="0" w:color="auto"/>
              <w:left w:val="none" w:sz="0" w:space="0" w:color="auto"/>
              <w:bottom w:val="none" w:sz="0" w:space="0" w:color="auto"/>
              <w:right w:val="none" w:sz="0" w:space="0" w:color="auto"/>
            </w:tcBorders>
          </w:tcPr>
          <w:p w14:paraId="18BC314B" w14:textId="77777777" w:rsidR="002C25F6" w:rsidRPr="00452CA9" w:rsidRDefault="002C25F6" w:rsidP="00297705">
            <w:pPr>
              <w:jc w:val="both"/>
              <w:rPr>
                <w:rFonts w:ascii="Sansa-Normal" w:eastAsia="Times New Roman" w:hAnsi="Sansa-Normal" w:cs="Times New Roman"/>
              </w:rPr>
            </w:pPr>
            <w:r w:rsidRPr="00452CA9">
              <w:rPr>
                <w:rFonts w:ascii="Sansa-Normal" w:eastAsia="Times New Roman" w:hAnsi="Sansa-Normal" w:cs="Calibri"/>
                <w:color w:val="000000"/>
              </w:rPr>
              <w:t>Elementos de la Planeación Estratégica.</w:t>
            </w:r>
          </w:p>
          <w:p w14:paraId="06BBCC69" w14:textId="77777777" w:rsidR="002C25F6" w:rsidRPr="00452CA9" w:rsidRDefault="002C25F6" w:rsidP="00297705">
            <w:pPr>
              <w:pStyle w:val="Prrafodelista"/>
              <w:jc w:val="both"/>
              <w:rPr>
                <w:rFonts w:ascii="Sansa-Normal" w:eastAsiaTheme="majorEastAsia" w:hAnsi="Sansa-Normal" w:cstheme="majorBidi"/>
                <w:b w:val="0"/>
                <w:lang w:val="es-ES_tradnl"/>
              </w:rPr>
            </w:pPr>
          </w:p>
        </w:tc>
      </w:tr>
      <w:tr w:rsidR="002C25F6" w:rsidRPr="00452CA9" w14:paraId="35F8E008" w14:textId="77777777" w:rsidTr="00452CA9">
        <w:trPr>
          <w:trHeight w:val="486"/>
          <w:jc w:val="center"/>
        </w:trPr>
        <w:tc>
          <w:tcPr>
            <w:cnfStyle w:val="001000000000" w:firstRow="0" w:lastRow="0" w:firstColumn="1" w:lastColumn="0" w:oddVBand="0" w:evenVBand="0" w:oddHBand="0" w:evenHBand="0" w:firstRowFirstColumn="0" w:firstRowLastColumn="0" w:lastRowFirstColumn="0" w:lastRowLastColumn="0"/>
            <w:tcW w:w="7479" w:type="dxa"/>
          </w:tcPr>
          <w:p w14:paraId="523E2AB2" w14:textId="77777777" w:rsidR="002C25F6" w:rsidRPr="00452CA9" w:rsidRDefault="002C25F6" w:rsidP="00297705">
            <w:pPr>
              <w:jc w:val="both"/>
              <w:rPr>
                <w:rFonts w:ascii="Sansa-Normal" w:eastAsia="Times New Roman" w:hAnsi="Sansa-Normal" w:cs="Times New Roman"/>
              </w:rPr>
            </w:pPr>
            <w:r w:rsidRPr="00452CA9">
              <w:rPr>
                <w:rFonts w:ascii="Sansa-Normal" w:eastAsia="Times New Roman" w:hAnsi="Sansa-Normal" w:cs="Calibri"/>
                <w:color w:val="000000"/>
              </w:rPr>
              <w:t>Pasos de la Planeación Estratégica.</w:t>
            </w:r>
          </w:p>
        </w:tc>
      </w:tr>
      <w:tr w:rsidR="002C25F6" w:rsidRPr="00452CA9" w14:paraId="41CE18D4" w14:textId="77777777" w:rsidTr="00452CA9">
        <w:trPr>
          <w:cnfStyle w:val="000000100000" w:firstRow="0" w:lastRow="0" w:firstColumn="0" w:lastColumn="0" w:oddVBand="0" w:evenVBand="0" w:oddHBand="1" w:evenHBand="0" w:firstRowFirstColumn="0" w:firstRowLastColumn="0" w:lastRowFirstColumn="0" w:lastRowLastColumn="0"/>
          <w:trHeight w:val="492"/>
          <w:jc w:val="center"/>
        </w:trPr>
        <w:tc>
          <w:tcPr>
            <w:cnfStyle w:val="001000000000" w:firstRow="0" w:lastRow="0" w:firstColumn="1" w:lastColumn="0" w:oddVBand="0" w:evenVBand="0" w:oddHBand="0" w:evenHBand="0" w:firstRowFirstColumn="0" w:firstRowLastColumn="0" w:lastRowFirstColumn="0" w:lastRowLastColumn="0"/>
            <w:tcW w:w="7479" w:type="dxa"/>
            <w:tcBorders>
              <w:top w:val="none" w:sz="0" w:space="0" w:color="auto"/>
              <w:left w:val="none" w:sz="0" w:space="0" w:color="auto"/>
              <w:bottom w:val="none" w:sz="0" w:space="0" w:color="auto"/>
              <w:right w:val="none" w:sz="0" w:space="0" w:color="auto"/>
            </w:tcBorders>
          </w:tcPr>
          <w:p w14:paraId="27B765EE" w14:textId="77777777" w:rsidR="002C25F6" w:rsidRPr="00452CA9" w:rsidRDefault="002C25F6" w:rsidP="00297705">
            <w:pPr>
              <w:jc w:val="both"/>
              <w:rPr>
                <w:rFonts w:ascii="Sansa-Normal" w:eastAsia="Times New Roman" w:hAnsi="Sansa-Normal" w:cs="Times New Roman"/>
              </w:rPr>
            </w:pPr>
            <w:r w:rsidRPr="00452CA9">
              <w:rPr>
                <w:rFonts w:ascii="Sansa-Normal" w:eastAsia="Times New Roman" w:hAnsi="Sansa-Normal" w:cs="Calibri"/>
                <w:color w:val="000000"/>
              </w:rPr>
              <w:t>Preparación para la Planeación.</w:t>
            </w:r>
          </w:p>
        </w:tc>
      </w:tr>
      <w:tr w:rsidR="002C25F6" w:rsidRPr="00452CA9" w14:paraId="530410E1" w14:textId="77777777" w:rsidTr="00452CA9">
        <w:trPr>
          <w:trHeight w:val="492"/>
          <w:jc w:val="center"/>
        </w:trPr>
        <w:tc>
          <w:tcPr>
            <w:cnfStyle w:val="001000000000" w:firstRow="0" w:lastRow="0" w:firstColumn="1" w:lastColumn="0" w:oddVBand="0" w:evenVBand="0" w:oddHBand="0" w:evenHBand="0" w:firstRowFirstColumn="0" w:firstRowLastColumn="0" w:lastRowFirstColumn="0" w:lastRowLastColumn="0"/>
            <w:tcW w:w="7479" w:type="dxa"/>
          </w:tcPr>
          <w:p w14:paraId="1A9B4DCA" w14:textId="77777777" w:rsidR="002C25F6" w:rsidRPr="00452CA9" w:rsidRDefault="002C25F6" w:rsidP="00297705">
            <w:pPr>
              <w:jc w:val="both"/>
              <w:rPr>
                <w:rFonts w:ascii="Sansa-Normal" w:eastAsia="Times New Roman" w:hAnsi="Sansa-Normal" w:cs="Calibri"/>
                <w:b w:val="0"/>
                <w:bCs w:val="0"/>
                <w:color w:val="000000"/>
              </w:rPr>
            </w:pPr>
            <w:r w:rsidRPr="00452CA9">
              <w:rPr>
                <w:rFonts w:ascii="Sansa-Normal" w:eastAsia="Times New Roman" w:hAnsi="Sansa-Normal" w:cs="Calibri"/>
                <w:color w:val="000000"/>
              </w:rPr>
              <w:t>Desarrollo de la Visión y Misión.</w:t>
            </w:r>
          </w:p>
        </w:tc>
      </w:tr>
      <w:tr w:rsidR="002C25F6" w:rsidRPr="00452CA9" w14:paraId="02801D59" w14:textId="77777777" w:rsidTr="00452CA9">
        <w:trPr>
          <w:cnfStyle w:val="000000100000" w:firstRow="0" w:lastRow="0" w:firstColumn="0" w:lastColumn="0" w:oddVBand="0" w:evenVBand="0" w:oddHBand="1" w:evenHBand="0" w:firstRowFirstColumn="0" w:firstRowLastColumn="0" w:lastRowFirstColumn="0" w:lastRowLastColumn="0"/>
          <w:trHeight w:val="492"/>
          <w:jc w:val="center"/>
        </w:trPr>
        <w:tc>
          <w:tcPr>
            <w:cnfStyle w:val="001000000000" w:firstRow="0" w:lastRow="0" w:firstColumn="1" w:lastColumn="0" w:oddVBand="0" w:evenVBand="0" w:oddHBand="0" w:evenHBand="0" w:firstRowFirstColumn="0" w:firstRowLastColumn="0" w:lastRowFirstColumn="0" w:lastRowLastColumn="0"/>
            <w:tcW w:w="7479" w:type="dxa"/>
            <w:tcBorders>
              <w:top w:val="none" w:sz="0" w:space="0" w:color="auto"/>
              <w:left w:val="none" w:sz="0" w:space="0" w:color="auto"/>
              <w:bottom w:val="none" w:sz="0" w:space="0" w:color="auto"/>
              <w:right w:val="none" w:sz="0" w:space="0" w:color="auto"/>
            </w:tcBorders>
          </w:tcPr>
          <w:p w14:paraId="5E08610D" w14:textId="77777777" w:rsidR="002C25F6" w:rsidRPr="00452CA9" w:rsidRDefault="002C25F6" w:rsidP="00297705">
            <w:pPr>
              <w:jc w:val="both"/>
              <w:rPr>
                <w:rFonts w:ascii="Sansa-Normal" w:eastAsia="Times New Roman" w:hAnsi="Sansa-Normal" w:cs="Calibri"/>
                <w:b w:val="0"/>
                <w:bCs w:val="0"/>
                <w:color w:val="000000"/>
              </w:rPr>
            </w:pPr>
            <w:r w:rsidRPr="00452CA9">
              <w:rPr>
                <w:rFonts w:ascii="Sansa-Normal" w:eastAsia="Times New Roman" w:hAnsi="Sansa-Normal" w:cs="Calibri"/>
                <w:color w:val="000000"/>
              </w:rPr>
              <w:t>Análisis de la Situación Actual Externa.</w:t>
            </w:r>
          </w:p>
        </w:tc>
      </w:tr>
      <w:tr w:rsidR="002C25F6" w:rsidRPr="00452CA9" w14:paraId="7E789212" w14:textId="77777777" w:rsidTr="00452CA9">
        <w:trPr>
          <w:trHeight w:val="492"/>
          <w:jc w:val="center"/>
        </w:trPr>
        <w:tc>
          <w:tcPr>
            <w:cnfStyle w:val="001000000000" w:firstRow="0" w:lastRow="0" w:firstColumn="1" w:lastColumn="0" w:oddVBand="0" w:evenVBand="0" w:oddHBand="0" w:evenHBand="0" w:firstRowFirstColumn="0" w:firstRowLastColumn="0" w:lastRowFirstColumn="0" w:lastRowLastColumn="0"/>
            <w:tcW w:w="7479" w:type="dxa"/>
          </w:tcPr>
          <w:p w14:paraId="07F288D9" w14:textId="77777777" w:rsidR="002C25F6" w:rsidRPr="00452CA9" w:rsidRDefault="002C25F6" w:rsidP="00297705">
            <w:pPr>
              <w:jc w:val="both"/>
              <w:rPr>
                <w:rFonts w:ascii="Sansa-Normal" w:eastAsia="Times New Roman" w:hAnsi="Sansa-Normal" w:cs="Calibri"/>
                <w:b w:val="0"/>
                <w:bCs w:val="0"/>
                <w:color w:val="000000"/>
              </w:rPr>
            </w:pPr>
            <w:r w:rsidRPr="00452CA9">
              <w:rPr>
                <w:rFonts w:ascii="Sansa-Normal" w:eastAsia="Times New Roman" w:hAnsi="Sansa-Normal" w:cs="Calibri"/>
                <w:color w:val="000000"/>
              </w:rPr>
              <w:t>Análisis Interno de la Organización.</w:t>
            </w:r>
          </w:p>
        </w:tc>
      </w:tr>
      <w:tr w:rsidR="002C25F6" w:rsidRPr="00452CA9" w14:paraId="0205430A" w14:textId="77777777" w:rsidTr="00452CA9">
        <w:trPr>
          <w:cnfStyle w:val="000000100000" w:firstRow="0" w:lastRow="0" w:firstColumn="0" w:lastColumn="0" w:oddVBand="0" w:evenVBand="0" w:oddHBand="1" w:evenHBand="0" w:firstRowFirstColumn="0" w:firstRowLastColumn="0" w:lastRowFirstColumn="0" w:lastRowLastColumn="0"/>
          <w:trHeight w:val="492"/>
          <w:jc w:val="center"/>
        </w:trPr>
        <w:tc>
          <w:tcPr>
            <w:cnfStyle w:val="001000000000" w:firstRow="0" w:lastRow="0" w:firstColumn="1" w:lastColumn="0" w:oddVBand="0" w:evenVBand="0" w:oddHBand="0" w:evenHBand="0" w:firstRowFirstColumn="0" w:firstRowLastColumn="0" w:lastRowFirstColumn="0" w:lastRowLastColumn="0"/>
            <w:tcW w:w="7479" w:type="dxa"/>
            <w:tcBorders>
              <w:top w:val="none" w:sz="0" w:space="0" w:color="auto"/>
              <w:left w:val="none" w:sz="0" w:space="0" w:color="auto"/>
              <w:bottom w:val="none" w:sz="0" w:space="0" w:color="auto"/>
              <w:right w:val="none" w:sz="0" w:space="0" w:color="auto"/>
            </w:tcBorders>
          </w:tcPr>
          <w:p w14:paraId="7288B7EF" w14:textId="77777777" w:rsidR="002C25F6" w:rsidRPr="00452CA9" w:rsidRDefault="002C25F6" w:rsidP="00297705">
            <w:pPr>
              <w:jc w:val="both"/>
              <w:rPr>
                <w:rFonts w:ascii="Sansa-Normal" w:eastAsia="Times New Roman" w:hAnsi="Sansa-Normal" w:cs="Calibri"/>
                <w:b w:val="0"/>
                <w:bCs w:val="0"/>
                <w:color w:val="000000"/>
              </w:rPr>
            </w:pPr>
            <w:r w:rsidRPr="00452CA9">
              <w:rPr>
                <w:rFonts w:ascii="Sansa-Normal" w:eastAsia="Times New Roman" w:hAnsi="Sansa-Normal" w:cs="Calibri"/>
                <w:color w:val="000000"/>
              </w:rPr>
              <w:t xml:space="preserve">Definición de metas y objetivos estratégicos. </w:t>
            </w:r>
          </w:p>
        </w:tc>
      </w:tr>
      <w:tr w:rsidR="002C25F6" w:rsidRPr="00452CA9" w14:paraId="0058A65E" w14:textId="77777777" w:rsidTr="00452CA9">
        <w:trPr>
          <w:trHeight w:val="1146"/>
          <w:jc w:val="center"/>
        </w:trPr>
        <w:tc>
          <w:tcPr>
            <w:cnfStyle w:val="001000000000" w:firstRow="0" w:lastRow="0" w:firstColumn="1" w:lastColumn="0" w:oddVBand="0" w:evenVBand="0" w:oddHBand="0" w:evenHBand="0" w:firstRowFirstColumn="0" w:firstRowLastColumn="0" w:lastRowFirstColumn="0" w:lastRowLastColumn="0"/>
            <w:tcW w:w="7479" w:type="dxa"/>
          </w:tcPr>
          <w:p w14:paraId="1EE989D0" w14:textId="77777777" w:rsidR="002C25F6" w:rsidRPr="00452CA9" w:rsidRDefault="002C25F6" w:rsidP="00297705">
            <w:pPr>
              <w:jc w:val="both"/>
              <w:rPr>
                <w:rFonts w:ascii="Sansa-Normal" w:eastAsia="Times New Roman" w:hAnsi="Sansa-Normal" w:cs="Calibri"/>
                <w:color w:val="000000"/>
              </w:rPr>
            </w:pPr>
            <w:r w:rsidRPr="00452CA9">
              <w:rPr>
                <w:rFonts w:ascii="Sansa-Normal" w:eastAsia="Times New Roman" w:hAnsi="Sansa-Normal" w:cs="Calibri"/>
                <w:color w:val="000000"/>
              </w:rPr>
              <w:t xml:space="preserve">Integración de la Estrategia con el Plan Financiero y otras Áreas de la Organización. </w:t>
            </w:r>
          </w:p>
        </w:tc>
      </w:tr>
      <w:tr w:rsidR="002C25F6" w:rsidRPr="00452CA9" w14:paraId="7FF805A1" w14:textId="77777777" w:rsidTr="00452CA9">
        <w:trPr>
          <w:cnfStyle w:val="000000100000" w:firstRow="0" w:lastRow="0" w:firstColumn="0" w:lastColumn="0" w:oddVBand="0" w:evenVBand="0" w:oddHBand="1" w:evenHBand="0" w:firstRowFirstColumn="0" w:firstRowLastColumn="0" w:lastRowFirstColumn="0" w:lastRowLastColumn="0"/>
          <w:trHeight w:val="695"/>
          <w:jc w:val="center"/>
        </w:trPr>
        <w:tc>
          <w:tcPr>
            <w:cnfStyle w:val="001000000000" w:firstRow="0" w:lastRow="0" w:firstColumn="1" w:lastColumn="0" w:oddVBand="0" w:evenVBand="0" w:oddHBand="0" w:evenHBand="0" w:firstRowFirstColumn="0" w:firstRowLastColumn="0" w:lastRowFirstColumn="0" w:lastRowLastColumn="0"/>
            <w:tcW w:w="7479" w:type="dxa"/>
            <w:tcBorders>
              <w:top w:val="none" w:sz="0" w:space="0" w:color="auto"/>
              <w:left w:val="none" w:sz="0" w:space="0" w:color="auto"/>
              <w:bottom w:val="none" w:sz="0" w:space="0" w:color="auto"/>
              <w:right w:val="none" w:sz="0" w:space="0" w:color="auto"/>
            </w:tcBorders>
          </w:tcPr>
          <w:p w14:paraId="63F3184C" w14:textId="77777777" w:rsidR="002C25F6" w:rsidRPr="00452CA9" w:rsidRDefault="002C25F6" w:rsidP="00297705">
            <w:pPr>
              <w:rPr>
                <w:rFonts w:ascii="Sansa-Normal" w:eastAsia="Times New Roman" w:hAnsi="Sansa-Normal" w:cs="Times New Roman"/>
              </w:rPr>
            </w:pPr>
            <w:r w:rsidRPr="00452CA9">
              <w:rPr>
                <w:rFonts w:ascii="Sansa-Normal" w:eastAsia="Times New Roman" w:hAnsi="Sansa-Normal" w:cs="Calibri"/>
                <w:color w:val="000000"/>
              </w:rPr>
              <w:t>Implementación de la estrategia.</w:t>
            </w:r>
          </w:p>
        </w:tc>
      </w:tr>
      <w:tr w:rsidR="002C25F6" w:rsidRPr="00452CA9" w14:paraId="4D186ADE" w14:textId="77777777" w:rsidTr="00452CA9">
        <w:trPr>
          <w:trHeight w:val="492"/>
          <w:jc w:val="center"/>
        </w:trPr>
        <w:tc>
          <w:tcPr>
            <w:cnfStyle w:val="001000000000" w:firstRow="0" w:lastRow="0" w:firstColumn="1" w:lastColumn="0" w:oddVBand="0" w:evenVBand="0" w:oddHBand="0" w:evenHBand="0" w:firstRowFirstColumn="0" w:firstRowLastColumn="0" w:lastRowFirstColumn="0" w:lastRowLastColumn="0"/>
            <w:tcW w:w="7479" w:type="dxa"/>
          </w:tcPr>
          <w:p w14:paraId="68FD00E6" w14:textId="77777777" w:rsidR="002C25F6" w:rsidRPr="00452CA9" w:rsidRDefault="002C25F6" w:rsidP="00297705">
            <w:pPr>
              <w:jc w:val="right"/>
              <w:rPr>
                <w:rFonts w:ascii="Sansa-Normal" w:eastAsia="Times New Roman" w:hAnsi="Sansa-Normal" w:cs="Calibri"/>
                <w:color w:val="000000"/>
              </w:rPr>
            </w:pPr>
            <w:r w:rsidRPr="00452CA9">
              <w:rPr>
                <w:rFonts w:ascii="Sansa-Normal" w:eastAsia="Times New Roman" w:hAnsi="Sansa-Normal" w:cs="Calibri"/>
                <w:color w:val="000000"/>
              </w:rPr>
              <w:t>Total 20 Puntos</w:t>
            </w:r>
          </w:p>
        </w:tc>
      </w:tr>
    </w:tbl>
    <w:p w14:paraId="04183510" w14:textId="77777777" w:rsidR="00604987" w:rsidRDefault="00604987" w:rsidP="0052056B">
      <w:pPr>
        <w:rPr>
          <w:rFonts w:ascii="Dispatch-Black" w:hAnsi="Dispatch-Black" w:cstheme="minorHAnsi"/>
          <w:color w:val="3366FF"/>
          <w:sz w:val="28"/>
          <w:szCs w:val="28"/>
        </w:rPr>
      </w:pPr>
    </w:p>
    <w:p w14:paraId="2426DB31" w14:textId="6209796A" w:rsidR="00452CA9" w:rsidRPr="00452CA9" w:rsidRDefault="00604987" w:rsidP="00452CA9">
      <w:pPr>
        <w:rPr>
          <w:rFonts w:ascii="Dispatch-Black" w:hAnsi="Dispatch-Black" w:cstheme="minorHAnsi"/>
          <w:color w:val="3366FF"/>
          <w:sz w:val="28"/>
          <w:szCs w:val="28"/>
        </w:rPr>
      </w:pPr>
      <w:r>
        <w:rPr>
          <w:rFonts w:ascii="Dispatch-Black" w:hAnsi="Dispatch-Black" w:cstheme="minorHAnsi"/>
          <w:color w:val="3366FF"/>
          <w:sz w:val="28"/>
          <w:szCs w:val="28"/>
        </w:rPr>
        <w:t>Bibliografía Recomendada</w:t>
      </w:r>
    </w:p>
    <w:p w14:paraId="01B3A5F8" w14:textId="77777777" w:rsidR="00452CA9" w:rsidRPr="00452CA9" w:rsidRDefault="00452CA9" w:rsidP="00452CA9">
      <w:pPr>
        <w:rPr>
          <w:rFonts w:ascii="Sansa-Normal" w:hAnsi="Sansa-Normal"/>
          <w:sz w:val="24"/>
          <w:szCs w:val="24"/>
        </w:rPr>
      </w:pPr>
      <w:r w:rsidRPr="00452CA9">
        <w:rPr>
          <w:rFonts w:ascii="Sansa-Normal" w:hAnsi="Sansa-Normal"/>
          <w:sz w:val="24"/>
          <w:szCs w:val="24"/>
        </w:rPr>
        <w:t>Referencia:</w:t>
      </w:r>
    </w:p>
    <w:p w14:paraId="2E3CAD9F" w14:textId="2083B4B9" w:rsidR="00452CA9" w:rsidRPr="00452CA9" w:rsidRDefault="00452CA9" w:rsidP="00452CA9">
      <w:pPr>
        <w:rPr>
          <w:rFonts w:ascii="Sansa-Normal" w:hAnsi="Sansa-Normal"/>
          <w:sz w:val="24"/>
          <w:szCs w:val="24"/>
        </w:rPr>
      </w:pPr>
      <w:r w:rsidRPr="00452CA9">
        <w:rPr>
          <w:rFonts w:ascii="Sansa-Normal" w:hAnsi="Sansa-Normal"/>
          <w:sz w:val="24"/>
          <w:szCs w:val="24"/>
        </w:rPr>
        <w:t>Guerrero O. (1990), Introducción a la Administración Pública (primera edición) México.</w:t>
      </w:r>
    </w:p>
    <w:p w14:paraId="68DD8999" w14:textId="77777777" w:rsidR="00452CA9" w:rsidRPr="00452CA9" w:rsidRDefault="00452CA9" w:rsidP="00452CA9">
      <w:pPr>
        <w:rPr>
          <w:rFonts w:ascii="Sansa-Normal" w:hAnsi="Sansa-Normal"/>
          <w:sz w:val="24"/>
          <w:szCs w:val="24"/>
        </w:rPr>
      </w:pPr>
      <w:r w:rsidRPr="00452CA9">
        <w:rPr>
          <w:rFonts w:ascii="Sansa-Normal" w:hAnsi="Sansa-Normal"/>
          <w:sz w:val="24"/>
          <w:szCs w:val="24"/>
        </w:rPr>
        <w:t>Referencia:</w:t>
      </w:r>
    </w:p>
    <w:p w14:paraId="3E81B818" w14:textId="77B8CF2E" w:rsidR="00271417" w:rsidRPr="00E266D2" w:rsidRDefault="00452CA9" w:rsidP="00E266D2">
      <w:pPr>
        <w:rPr>
          <w:rFonts w:ascii="Sansa-Normal" w:hAnsi="Sansa-Normal"/>
          <w:sz w:val="24"/>
          <w:szCs w:val="24"/>
        </w:rPr>
      </w:pPr>
      <w:r w:rsidRPr="00452CA9">
        <w:rPr>
          <w:rFonts w:ascii="Sansa-Normal" w:hAnsi="Sansa-Normal"/>
          <w:sz w:val="24"/>
          <w:szCs w:val="24"/>
        </w:rPr>
        <w:t xml:space="preserve">Aguilar (1992) El Estudio de las Políticas Públicas, México: Porrúa. </w:t>
      </w:r>
    </w:p>
    <w:p w14:paraId="0C874515" w14:textId="337984CB" w:rsidR="00604987" w:rsidRDefault="00604987" w:rsidP="00604987">
      <w:pPr>
        <w:rPr>
          <w:rFonts w:ascii="Dispatch-Black" w:hAnsi="Dispatch-Black" w:cstheme="minorHAnsi"/>
          <w:color w:val="3366FF"/>
          <w:sz w:val="28"/>
          <w:szCs w:val="28"/>
        </w:rPr>
      </w:pPr>
      <w:r>
        <w:rPr>
          <w:rFonts w:ascii="Dispatch-Black" w:hAnsi="Dispatch-Black" w:cstheme="minorHAnsi"/>
          <w:color w:val="3366FF"/>
          <w:sz w:val="28"/>
          <w:szCs w:val="28"/>
        </w:rPr>
        <w:t>Dinámica de Trabajo</w:t>
      </w:r>
    </w:p>
    <w:p w14:paraId="3ED6DED7" w14:textId="77777777" w:rsidR="00452CA9" w:rsidRPr="00452CA9" w:rsidRDefault="00452CA9" w:rsidP="00452CA9">
      <w:pPr>
        <w:jc w:val="both"/>
        <w:rPr>
          <w:rFonts w:ascii="Sansa-Normal" w:hAnsi="Sansa-Normal"/>
          <w:sz w:val="24"/>
          <w:szCs w:val="24"/>
        </w:rPr>
      </w:pPr>
      <w:r w:rsidRPr="00452CA9">
        <w:rPr>
          <w:rFonts w:ascii="Sansa-Normal" w:hAnsi="Sansa-Normal"/>
          <w:sz w:val="24"/>
          <w:szCs w:val="24"/>
        </w:rPr>
        <w:t>Cada unidad consta de los siguientes elementos:</w:t>
      </w:r>
    </w:p>
    <w:p w14:paraId="542FA416" w14:textId="77777777" w:rsidR="00452CA9" w:rsidRPr="00452CA9" w:rsidRDefault="00452CA9" w:rsidP="00452CA9">
      <w:pPr>
        <w:jc w:val="both"/>
        <w:rPr>
          <w:rFonts w:ascii="Sansa-Normal" w:hAnsi="Sansa-Normal"/>
          <w:sz w:val="24"/>
          <w:szCs w:val="24"/>
        </w:rPr>
      </w:pPr>
      <w:r w:rsidRPr="00452CA9">
        <w:rPr>
          <w:rFonts w:ascii="Sansa-Normal" w:hAnsi="Sansa-Normal"/>
          <w:sz w:val="24"/>
          <w:szCs w:val="24"/>
        </w:rPr>
        <w:t>−</w:t>
      </w:r>
      <w:r w:rsidRPr="00452CA9">
        <w:rPr>
          <w:rFonts w:ascii="Sansa-Normal" w:hAnsi="Sansa-Normal"/>
          <w:sz w:val="24"/>
          <w:szCs w:val="24"/>
        </w:rPr>
        <w:tab/>
        <w:t>Contenido Temático: presentación y análisis de conceptos, fundamentos teóricos, implicaciones y aplicaciones del tema al que se refiere la unidad correspondiente.</w:t>
      </w:r>
    </w:p>
    <w:p w14:paraId="42B6D2DB" w14:textId="77777777" w:rsidR="00452CA9" w:rsidRPr="00452CA9" w:rsidRDefault="00452CA9" w:rsidP="00452CA9">
      <w:pPr>
        <w:jc w:val="both"/>
        <w:rPr>
          <w:rFonts w:ascii="Sansa-Normal" w:hAnsi="Sansa-Normal"/>
          <w:sz w:val="24"/>
          <w:szCs w:val="24"/>
        </w:rPr>
      </w:pPr>
      <w:r w:rsidRPr="00452CA9">
        <w:rPr>
          <w:rFonts w:ascii="Sansa-Normal" w:hAnsi="Sansa-Normal"/>
          <w:sz w:val="24"/>
          <w:szCs w:val="24"/>
        </w:rPr>
        <w:t>−</w:t>
      </w:r>
      <w:r w:rsidRPr="00452CA9">
        <w:rPr>
          <w:rFonts w:ascii="Sansa-Normal" w:hAnsi="Sansa-Normal"/>
          <w:sz w:val="24"/>
          <w:szCs w:val="24"/>
        </w:rPr>
        <w:tab/>
        <w:t>Controles de Lectura: cuestionamientos específicos acerca de las lecturas realizadas bajo un sistema de opción múltiple o relacionar, los cuales permitirán comprobar que has revisado y leído cada una de las lecturas que te han sido asignadas. Recuerda que pueden tener valor en tu evaluación.</w:t>
      </w:r>
    </w:p>
    <w:p w14:paraId="7AC406DA" w14:textId="77777777" w:rsidR="00452CA9" w:rsidRPr="00452CA9" w:rsidRDefault="00452CA9" w:rsidP="00452CA9">
      <w:pPr>
        <w:jc w:val="both"/>
        <w:rPr>
          <w:rFonts w:ascii="Sansa-Normal" w:hAnsi="Sansa-Normal"/>
          <w:sz w:val="24"/>
          <w:szCs w:val="24"/>
        </w:rPr>
      </w:pPr>
      <w:r w:rsidRPr="00452CA9">
        <w:rPr>
          <w:rFonts w:ascii="Sansa-Normal" w:hAnsi="Sansa-Normal"/>
          <w:sz w:val="24"/>
          <w:szCs w:val="24"/>
        </w:rPr>
        <w:t>−</w:t>
      </w:r>
      <w:r w:rsidRPr="00452CA9">
        <w:rPr>
          <w:rFonts w:ascii="Sansa-Normal" w:hAnsi="Sansa-Normal"/>
          <w:sz w:val="24"/>
          <w:szCs w:val="24"/>
        </w:rPr>
        <w:tab/>
        <w:t>Actividades: aplicación de los conocimientos teóricos adquiridos. Son evaluables bajo listas de cotejo específicas y adquieren una ponderación en la evaluación.</w:t>
      </w:r>
    </w:p>
    <w:p w14:paraId="4D47DD98" w14:textId="77777777" w:rsidR="00452CA9" w:rsidRPr="00452CA9" w:rsidRDefault="00452CA9" w:rsidP="00452CA9">
      <w:pPr>
        <w:jc w:val="both"/>
        <w:rPr>
          <w:rFonts w:ascii="Sansa-Normal" w:hAnsi="Sansa-Normal"/>
          <w:sz w:val="24"/>
          <w:szCs w:val="24"/>
        </w:rPr>
      </w:pPr>
      <w:r w:rsidRPr="00452CA9">
        <w:rPr>
          <w:rFonts w:ascii="Sansa-Normal" w:hAnsi="Sansa-Normal"/>
          <w:sz w:val="24"/>
          <w:szCs w:val="24"/>
        </w:rPr>
        <w:t>−</w:t>
      </w:r>
      <w:r w:rsidRPr="00452CA9">
        <w:rPr>
          <w:rFonts w:ascii="Sansa-Normal" w:hAnsi="Sansa-Normal"/>
          <w:sz w:val="24"/>
          <w:szCs w:val="24"/>
        </w:rPr>
        <w:tab/>
        <w:t xml:space="preserve">Ejercicios: prácticas que ayudan a reforzar el conocimiento para un mejor resultado en las evaluaciones. </w:t>
      </w:r>
    </w:p>
    <w:p w14:paraId="590CE88F" w14:textId="77777777" w:rsidR="00452CA9" w:rsidRPr="00452CA9" w:rsidRDefault="00452CA9" w:rsidP="00452CA9">
      <w:pPr>
        <w:jc w:val="both"/>
        <w:rPr>
          <w:rFonts w:ascii="Sansa-Normal" w:hAnsi="Sansa-Normal"/>
          <w:sz w:val="24"/>
          <w:szCs w:val="24"/>
        </w:rPr>
      </w:pPr>
      <w:r w:rsidRPr="00452CA9">
        <w:rPr>
          <w:rFonts w:ascii="Sansa-Normal" w:hAnsi="Sansa-Normal"/>
          <w:sz w:val="24"/>
          <w:szCs w:val="24"/>
        </w:rPr>
        <w:t>−</w:t>
      </w:r>
      <w:r w:rsidRPr="00452CA9">
        <w:rPr>
          <w:rFonts w:ascii="Sansa-Normal" w:hAnsi="Sansa-Normal"/>
          <w:sz w:val="24"/>
          <w:szCs w:val="24"/>
        </w:rPr>
        <w:tab/>
        <w:t>Evaluación por unidad: consta de una serie de reactivos que se evalúan para comprobar el conocimiento adquirido dentro de la unidad.</w:t>
      </w:r>
    </w:p>
    <w:p w14:paraId="5F4295B5" w14:textId="77777777" w:rsidR="00452CA9" w:rsidRPr="00452CA9" w:rsidRDefault="00452CA9" w:rsidP="00452CA9">
      <w:pPr>
        <w:jc w:val="both"/>
        <w:rPr>
          <w:rFonts w:ascii="Sansa-Normal" w:hAnsi="Sansa-Normal"/>
          <w:sz w:val="24"/>
          <w:szCs w:val="24"/>
        </w:rPr>
      </w:pPr>
      <w:r w:rsidRPr="00452CA9">
        <w:rPr>
          <w:rFonts w:ascii="Sansa-Normal" w:hAnsi="Sansa-Normal"/>
          <w:sz w:val="24"/>
          <w:szCs w:val="24"/>
        </w:rPr>
        <w:t>−</w:t>
      </w:r>
      <w:r w:rsidRPr="00452CA9">
        <w:rPr>
          <w:rFonts w:ascii="Sansa-Normal" w:hAnsi="Sansa-Normal"/>
          <w:sz w:val="24"/>
          <w:szCs w:val="24"/>
        </w:rPr>
        <w:tab/>
        <w:t>Antes de terminar tu materia deberás responder una evaluación final que comprende los contenidos de toda la materia.</w:t>
      </w:r>
    </w:p>
    <w:p w14:paraId="643F00FA" w14:textId="77777777" w:rsidR="00452CA9" w:rsidRDefault="00452CA9" w:rsidP="00452CA9">
      <w:pPr>
        <w:rPr>
          <w:rFonts w:ascii="Dispatch-Black" w:hAnsi="Dispatch-Black" w:cstheme="minorHAnsi"/>
          <w:color w:val="3366FF"/>
          <w:sz w:val="28"/>
          <w:szCs w:val="28"/>
        </w:rPr>
      </w:pPr>
    </w:p>
    <w:p w14:paraId="6015656A" w14:textId="77777777" w:rsidR="00452CA9" w:rsidRDefault="00452CA9" w:rsidP="00452CA9">
      <w:pPr>
        <w:rPr>
          <w:rFonts w:ascii="Dispatch-Black" w:hAnsi="Dispatch-Black" w:cstheme="minorHAnsi"/>
          <w:color w:val="3366FF"/>
          <w:sz w:val="28"/>
          <w:szCs w:val="28"/>
        </w:rPr>
      </w:pPr>
    </w:p>
    <w:p w14:paraId="2FE0713F" w14:textId="77777777" w:rsidR="00452CA9" w:rsidRDefault="00452CA9" w:rsidP="00452CA9">
      <w:pPr>
        <w:rPr>
          <w:rFonts w:ascii="Dispatch-Black" w:hAnsi="Dispatch-Black" w:cstheme="minorHAnsi"/>
          <w:color w:val="3366FF"/>
          <w:sz w:val="28"/>
          <w:szCs w:val="28"/>
        </w:rPr>
      </w:pPr>
    </w:p>
    <w:p w14:paraId="50653A47" w14:textId="77777777" w:rsidR="00452CA9" w:rsidRDefault="00452CA9" w:rsidP="00452CA9">
      <w:pPr>
        <w:rPr>
          <w:rFonts w:ascii="Dispatch-Black" w:hAnsi="Dispatch-Black" w:cstheme="minorHAnsi"/>
          <w:color w:val="3366FF"/>
          <w:sz w:val="28"/>
          <w:szCs w:val="28"/>
        </w:rPr>
      </w:pPr>
    </w:p>
    <w:p w14:paraId="06B041D7" w14:textId="1CC8F3D5" w:rsidR="00452CA9" w:rsidRDefault="00452CA9" w:rsidP="00452CA9">
      <w:pPr>
        <w:rPr>
          <w:rFonts w:ascii="Dispatch-Black" w:hAnsi="Dispatch-Black" w:cstheme="minorHAnsi"/>
          <w:color w:val="3366FF"/>
          <w:sz w:val="28"/>
          <w:szCs w:val="28"/>
        </w:rPr>
      </w:pPr>
      <w:r>
        <w:rPr>
          <w:rFonts w:ascii="Dispatch-Black" w:hAnsi="Dispatch-Black" w:cstheme="minorHAnsi"/>
          <w:color w:val="3366FF"/>
          <w:sz w:val="28"/>
          <w:szCs w:val="28"/>
        </w:rPr>
        <w:t>Referencias</w:t>
      </w:r>
    </w:p>
    <w:p w14:paraId="1DDEA579" w14:textId="56799F11" w:rsidR="00452CA9" w:rsidRPr="00452CA9" w:rsidRDefault="00452CA9" w:rsidP="00452CA9">
      <w:pPr>
        <w:jc w:val="both"/>
        <w:rPr>
          <w:rFonts w:ascii="Sansa-Normal" w:hAnsi="Sansa-Normal"/>
          <w:sz w:val="24"/>
          <w:szCs w:val="24"/>
        </w:rPr>
      </w:pPr>
      <w:r>
        <w:rPr>
          <w:rFonts w:ascii="Sansa-Normal" w:hAnsi="Sansa-Normal"/>
          <w:sz w:val="24"/>
          <w:szCs w:val="24"/>
        </w:rPr>
        <w:t>Referencias:</w:t>
      </w:r>
    </w:p>
    <w:p w14:paraId="78053CB1" w14:textId="12D830E3" w:rsidR="00452CA9" w:rsidRPr="00452CA9" w:rsidRDefault="00452CA9" w:rsidP="00452CA9">
      <w:pPr>
        <w:jc w:val="both"/>
        <w:rPr>
          <w:rFonts w:ascii="Sansa-Normal" w:hAnsi="Sansa-Normal"/>
          <w:sz w:val="24"/>
          <w:szCs w:val="24"/>
        </w:rPr>
      </w:pPr>
      <w:r w:rsidRPr="00452CA9">
        <w:rPr>
          <w:rFonts w:ascii="Sansa-Normal" w:hAnsi="Sansa-Normal"/>
          <w:sz w:val="24"/>
          <w:szCs w:val="24"/>
        </w:rPr>
        <w:t xml:space="preserve">Aguilar (1992) El Estudio de las Políticas Públicas, México: Porrúa. </w:t>
      </w:r>
    </w:p>
    <w:p w14:paraId="3163B79F" w14:textId="20B22389" w:rsidR="00452CA9" w:rsidRPr="00452CA9" w:rsidRDefault="00452CA9" w:rsidP="00452CA9">
      <w:pPr>
        <w:jc w:val="both"/>
        <w:rPr>
          <w:rFonts w:ascii="Sansa-Normal" w:hAnsi="Sansa-Normal"/>
          <w:sz w:val="24"/>
          <w:szCs w:val="24"/>
        </w:rPr>
      </w:pPr>
      <w:r w:rsidRPr="00452CA9">
        <w:rPr>
          <w:rFonts w:ascii="Sansa-Normal" w:hAnsi="Sansa-Normal"/>
          <w:sz w:val="24"/>
          <w:szCs w:val="24"/>
        </w:rPr>
        <w:t>Álvarez J., (1998). Enciclopedia de México-Secretaría de Educac</w:t>
      </w:r>
      <w:r>
        <w:rPr>
          <w:rFonts w:ascii="Sansa-Normal" w:hAnsi="Sansa-Normal"/>
          <w:sz w:val="24"/>
          <w:szCs w:val="24"/>
        </w:rPr>
        <w:t>ión Pública  (Ed 1998). México.</w:t>
      </w:r>
    </w:p>
    <w:p w14:paraId="09C1B3AA" w14:textId="77777777" w:rsidR="00452CA9" w:rsidRDefault="00452CA9" w:rsidP="00452CA9">
      <w:pPr>
        <w:jc w:val="both"/>
        <w:rPr>
          <w:rFonts w:ascii="Sansa-Normal" w:hAnsi="Sansa-Normal"/>
          <w:sz w:val="24"/>
          <w:szCs w:val="24"/>
        </w:rPr>
      </w:pPr>
      <w:r w:rsidRPr="00452CA9">
        <w:rPr>
          <w:rFonts w:ascii="Sansa-Normal" w:hAnsi="Sansa-Normal"/>
          <w:sz w:val="24"/>
          <w:szCs w:val="24"/>
        </w:rPr>
        <w:t>Andreu R., (1996). Estrategia y Sistemas de Información (2ed.) MC Graw-Hill.</w:t>
      </w:r>
    </w:p>
    <w:p w14:paraId="3ED01CE8" w14:textId="5957998C" w:rsidR="00452CA9" w:rsidRPr="00452CA9" w:rsidRDefault="00452CA9" w:rsidP="00452CA9">
      <w:pPr>
        <w:jc w:val="both"/>
        <w:rPr>
          <w:rFonts w:ascii="Sansa-Normal" w:hAnsi="Sansa-Normal"/>
          <w:sz w:val="24"/>
          <w:szCs w:val="24"/>
        </w:rPr>
      </w:pPr>
      <w:r w:rsidRPr="00452CA9">
        <w:rPr>
          <w:rFonts w:ascii="Sansa-Normal" w:hAnsi="Sansa-Normal"/>
          <w:sz w:val="24"/>
          <w:szCs w:val="24"/>
        </w:rPr>
        <w:t>Borja R. (1997). Enciclopedia de la Política (tercera edición), México, F</w:t>
      </w:r>
      <w:r>
        <w:rPr>
          <w:rFonts w:ascii="Sansa-Normal" w:hAnsi="Sansa-Normal"/>
          <w:sz w:val="24"/>
          <w:szCs w:val="24"/>
        </w:rPr>
        <w:t xml:space="preserve">ondo de la Cultura Económica.  </w:t>
      </w:r>
    </w:p>
    <w:p w14:paraId="64A212ED" w14:textId="10AA6B20" w:rsidR="00452CA9" w:rsidRPr="00452CA9" w:rsidRDefault="00452CA9" w:rsidP="00452CA9">
      <w:pPr>
        <w:jc w:val="both"/>
        <w:rPr>
          <w:rFonts w:ascii="Sansa-Normal" w:hAnsi="Sansa-Normal"/>
          <w:sz w:val="24"/>
          <w:szCs w:val="24"/>
        </w:rPr>
      </w:pPr>
      <w:r w:rsidRPr="00452CA9">
        <w:rPr>
          <w:rFonts w:ascii="Sansa-Normal" w:hAnsi="Sansa-Normal"/>
          <w:sz w:val="24"/>
          <w:szCs w:val="24"/>
        </w:rPr>
        <w:t>Cárdenas R., (1988). Responsabilidad de Funcionarios Públicos  (2ª Ed.). México.</w:t>
      </w:r>
    </w:p>
    <w:p w14:paraId="45706D73" w14:textId="46718D57" w:rsidR="00452CA9" w:rsidRPr="00452CA9" w:rsidRDefault="00452CA9" w:rsidP="00452CA9">
      <w:pPr>
        <w:jc w:val="both"/>
        <w:rPr>
          <w:rFonts w:ascii="Sansa-Normal" w:hAnsi="Sansa-Normal"/>
          <w:sz w:val="24"/>
          <w:szCs w:val="24"/>
        </w:rPr>
      </w:pPr>
      <w:r w:rsidRPr="00452CA9">
        <w:rPr>
          <w:rFonts w:ascii="Sansa-Normal" w:hAnsi="Sansa-Normal"/>
          <w:sz w:val="24"/>
          <w:szCs w:val="24"/>
        </w:rPr>
        <w:t xml:space="preserve">Código Municipal para el </w:t>
      </w:r>
      <w:r>
        <w:rPr>
          <w:rFonts w:ascii="Sansa-Normal" w:hAnsi="Sansa-Normal"/>
          <w:sz w:val="24"/>
          <w:szCs w:val="24"/>
        </w:rPr>
        <w:t>Estado de Coahuila de Zaragoza.</w:t>
      </w:r>
    </w:p>
    <w:p w14:paraId="456A4F82" w14:textId="0D4817F4" w:rsidR="00452CA9" w:rsidRPr="00452CA9" w:rsidRDefault="00452CA9" w:rsidP="00452CA9">
      <w:pPr>
        <w:jc w:val="both"/>
        <w:rPr>
          <w:rFonts w:ascii="Sansa-Normal" w:hAnsi="Sansa-Normal"/>
          <w:sz w:val="24"/>
          <w:szCs w:val="24"/>
        </w:rPr>
      </w:pPr>
      <w:r w:rsidRPr="00452CA9">
        <w:rPr>
          <w:rFonts w:ascii="Sansa-Normal" w:hAnsi="Sansa-Normal"/>
          <w:sz w:val="24"/>
          <w:szCs w:val="24"/>
        </w:rPr>
        <w:t>Código Penal de Coahuila.</w:t>
      </w:r>
    </w:p>
    <w:p w14:paraId="1A79163B" w14:textId="77777777" w:rsidR="00452CA9" w:rsidRPr="00452CA9" w:rsidRDefault="00452CA9" w:rsidP="00452CA9">
      <w:pPr>
        <w:jc w:val="both"/>
        <w:rPr>
          <w:rFonts w:ascii="Sansa-Normal" w:hAnsi="Sansa-Normal"/>
          <w:sz w:val="24"/>
          <w:szCs w:val="24"/>
        </w:rPr>
      </w:pPr>
      <w:r w:rsidRPr="00452CA9">
        <w:rPr>
          <w:rFonts w:ascii="Sansa-Normal" w:hAnsi="Sansa-Normal"/>
          <w:sz w:val="24"/>
          <w:szCs w:val="24"/>
        </w:rPr>
        <w:t>Constitución Política  de los Estados Unidos Mexicanos.</w:t>
      </w:r>
    </w:p>
    <w:p w14:paraId="32568D68" w14:textId="77777777" w:rsidR="00452CA9" w:rsidRPr="00452CA9" w:rsidRDefault="00452CA9" w:rsidP="00452CA9">
      <w:pPr>
        <w:jc w:val="both"/>
        <w:rPr>
          <w:rFonts w:ascii="Sansa-Normal" w:hAnsi="Sansa-Normal"/>
          <w:sz w:val="24"/>
          <w:szCs w:val="24"/>
        </w:rPr>
      </w:pPr>
      <w:r w:rsidRPr="00452CA9">
        <w:rPr>
          <w:rFonts w:ascii="Sansa-Normal" w:hAnsi="Sansa-Normal"/>
          <w:sz w:val="24"/>
          <w:szCs w:val="24"/>
        </w:rPr>
        <w:t xml:space="preserve">Fernández J.(2008), Derecho Administrativo y Administración Pública (2a. ed.) , México, Porrúa. </w:t>
      </w:r>
    </w:p>
    <w:p w14:paraId="4A31E241" w14:textId="1B003AF2" w:rsidR="00452CA9" w:rsidRPr="00452CA9" w:rsidRDefault="00452CA9" w:rsidP="00452CA9">
      <w:pPr>
        <w:jc w:val="both"/>
        <w:rPr>
          <w:rFonts w:ascii="Sansa-Normal" w:hAnsi="Sansa-Normal"/>
          <w:sz w:val="24"/>
          <w:szCs w:val="24"/>
        </w:rPr>
      </w:pPr>
      <w:r w:rsidRPr="00452CA9">
        <w:rPr>
          <w:rFonts w:ascii="Sansa-Normal" w:hAnsi="Sansa-Normal"/>
          <w:sz w:val="24"/>
          <w:szCs w:val="24"/>
        </w:rPr>
        <w:t>Guerrero O. (1990), Introducción a la Administración Pública (primera edición) México</w:t>
      </w:r>
      <w:r>
        <w:rPr>
          <w:rFonts w:ascii="Sansa-Normal" w:hAnsi="Sansa-Normal"/>
          <w:sz w:val="24"/>
          <w:szCs w:val="24"/>
        </w:rPr>
        <w:t>.</w:t>
      </w:r>
    </w:p>
    <w:p w14:paraId="01624E10" w14:textId="72E20DA8" w:rsidR="00452CA9" w:rsidRPr="00452CA9" w:rsidRDefault="00452CA9" w:rsidP="00452CA9">
      <w:pPr>
        <w:jc w:val="both"/>
        <w:rPr>
          <w:rFonts w:ascii="Sansa-Normal" w:hAnsi="Sansa-Normal"/>
          <w:sz w:val="24"/>
          <w:szCs w:val="24"/>
        </w:rPr>
      </w:pPr>
      <w:r w:rsidRPr="00452CA9">
        <w:rPr>
          <w:rFonts w:ascii="Sansa-Normal" w:hAnsi="Sansa-Normal"/>
          <w:sz w:val="24"/>
          <w:szCs w:val="24"/>
        </w:rPr>
        <w:t xml:space="preserve">Ley Federal de las Responsabilidades Administrativas de los Servidores Públicos.  </w:t>
      </w:r>
    </w:p>
    <w:p w14:paraId="7ABC4C4B" w14:textId="6532EBA0" w:rsidR="00452CA9" w:rsidRPr="00452CA9" w:rsidRDefault="00452CA9" w:rsidP="00452CA9">
      <w:pPr>
        <w:jc w:val="both"/>
        <w:rPr>
          <w:rFonts w:ascii="Sansa-Normal" w:hAnsi="Sansa-Normal"/>
          <w:sz w:val="24"/>
          <w:szCs w:val="24"/>
        </w:rPr>
      </w:pPr>
      <w:r w:rsidRPr="00452CA9">
        <w:rPr>
          <w:rFonts w:ascii="Sansa-Normal" w:hAnsi="Sansa-Normal"/>
          <w:sz w:val="24"/>
          <w:szCs w:val="24"/>
        </w:rPr>
        <w:t xml:space="preserve">Ley General de Deuda Pública. </w:t>
      </w:r>
    </w:p>
    <w:p w14:paraId="22C9C898" w14:textId="571C768F" w:rsidR="00452CA9" w:rsidRPr="00452CA9" w:rsidRDefault="00452CA9" w:rsidP="00452CA9">
      <w:pPr>
        <w:jc w:val="both"/>
        <w:rPr>
          <w:rFonts w:ascii="Sansa-Normal" w:hAnsi="Sansa-Normal"/>
          <w:sz w:val="24"/>
          <w:szCs w:val="24"/>
        </w:rPr>
      </w:pPr>
      <w:r w:rsidRPr="00452CA9">
        <w:rPr>
          <w:rFonts w:ascii="Sansa-Normal" w:hAnsi="Sansa-Normal"/>
          <w:sz w:val="24"/>
          <w:szCs w:val="24"/>
        </w:rPr>
        <w:t xml:space="preserve">Ley de Planeación del Desarrollo para el </w:t>
      </w:r>
      <w:r>
        <w:rPr>
          <w:rFonts w:ascii="Sansa-Normal" w:hAnsi="Sansa-Normal"/>
          <w:sz w:val="24"/>
          <w:szCs w:val="24"/>
        </w:rPr>
        <w:t>Estado de Coahuila de Zaragoza.</w:t>
      </w:r>
    </w:p>
    <w:p w14:paraId="41307F4E" w14:textId="7F210DBE" w:rsidR="00452CA9" w:rsidRPr="00452CA9" w:rsidRDefault="00452CA9" w:rsidP="00452CA9">
      <w:pPr>
        <w:jc w:val="both"/>
        <w:rPr>
          <w:rFonts w:ascii="Sansa-Normal" w:hAnsi="Sansa-Normal"/>
          <w:sz w:val="24"/>
          <w:szCs w:val="24"/>
        </w:rPr>
      </w:pPr>
      <w:r w:rsidRPr="00452CA9">
        <w:rPr>
          <w:rFonts w:ascii="Sansa-Normal" w:hAnsi="Sansa-Normal"/>
          <w:sz w:val="24"/>
          <w:szCs w:val="24"/>
        </w:rPr>
        <w:t xml:space="preserve">Martínez R. (2011). Derecho Administrativo. México, Porrúa. </w:t>
      </w:r>
    </w:p>
    <w:p w14:paraId="531A227F" w14:textId="0A0ABF72" w:rsidR="00452CA9" w:rsidRPr="00452CA9" w:rsidRDefault="00452CA9" w:rsidP="00452CA9">
      <w:pPr>
        <w:jc w:val="both"/>
        <w:rPr>
          <w:rFonts w:ascii="Sansa-Normal" w:hAnsi="Sansa-Normal"/>
          <w:sz w:val="24"/>
          <w:szCs w:val="24"/>
        </w:rPr>
      </w:pPr>
      <w:r w:rsidRPr="00452CA9">
        <w:rPr>
          <w:rFonts w:ascii="Sansa-Normal" w:hAnsi="Sansa-Normal"/>
          <w:sz w:val="24"/>
          <w:szCs w:val="24"/>
        </w:rPr>
        <w:t>Muñoz P. (1978) Introducción a la Administración Publica (3ª edición) Méxic</w:t>
      </w:r>
      <w:r>
        <w:rPr>
          <w:rFonts w:ascii="Sansa-Normal" w:hAnsi="Sansa-Normal"/>
          <w:sz w:val="24"/>
          <w:szCs w:val="24"/>
        </w:rPr>
        <w:t xml:space="preserve">o, Fondo de Cultura Económica. </w:t>
      </w:r>
    </w:p>
    <w:p w14:paraId="2CAA41D2" w14:textId="77777777" w:rsidR="00452CA9" w:rsidRPr="00452CA9" w:rsidRDefault="00452CA9" w:rsidP="00452CA9">
      <w:pPr>
        <w:jc w:val="both"/>
        <w:rPr>
          <w:rFonts w:ascii="Sansa-Normal" w:hAnsi="Sansa-Normal"/>
          <w:sz w:val="24"/>
          <w:szCs w:val="24"/>
        </w:rPr>
      </w:pPr>
      <w:r w:rsidRPr="00452CA9">
        <w:rPr>
          <w:rFonts w:ascii="Sansa-Normal" w:hAnsi="Sansa-Normal"/>
          <w:sz w:val="24"/>
          <w:szCs w:val="24"/>
        </w:rPr>
        <w:t xml:space="preserve">Ortiz L., (1993). Derecho Internacional  Público (2ª Ed.). México: Harla. </w:t>
      </w:r>
    </w:p>
    <w:p w14:paraId="1AABED68" w14:textId="77777777" w:rsidR="00452CA9" w:rsidRPr="00452CA9" w:rsidRDefault="00452CA9" w:rsidP="00452CA9">
      <w:pPr>
        <w:jc w:val="both"/>
        <w:rPr>
          <w:rFonts w:ascii="Sansa-Normal" w:hAnsi="Sansa-Normal"/>
          <w:sz w:val="24"/>
          <w:szCs w:val="24"/>
        </w:rPr>
      </w:pPr>
      <w:r w:rsidRPr="00452CA9">
        <w:rPr>
          <w:rFonts w:ascii="Sansa-Normal" w:hAnsi="Sansa-Normal"/>
          <w:sz w:val="24"/>
          <w:szCs w:val="24"/>
        </w:rPr>
        <w:t>Quiroga J. (1994) Centralización y Descentralización Administrativas y Delegados del Gobierno, Madrid, 2ª. ed.</w:t>
      </w:r>
    </w:p>
    <w:p w14:paraId="50BF79A2" w14:textId="77777777" w:rsidR="00452CA9" w:rsidRPr="00452CA9" w:rsidRDefault="00452CA9" w:rsidP="00452CA9">
      <w:pPr>
        <w:jc w:val="both"/>
        <w:rPr>
          <w:rFonts w:ascii="Sansa-Normal" w:hAnsi="Sansa-Normal"/>
          <w:sz w:val="24"/>
          <w:szCs w:val="24"/>
        </w:rPr>
      </w:pPr>
    </w:p>
    <w:p w14:paraId="08157628" w14:textId="595F1E07" w:rsidR="00452CA9" w:rsidRPr="00452CA9" w:rsidRDefault="00452CA9" w:rsidP="00452CA9">
      <w:pPr>
        <w:jc w:val="both"/>
        <w:rPr>
          <w:rFonts w:ascii="Sansa-Normal" w:hAnsi="Sansa-Normal"/>
          <w:sz w:val="24"/>
          <w:szCs w:val="24"/>
        </w:rPr>
      </w:pPr>
      <w:r w:rsidRPr="00452CA9">
        <w:rPr>
          <w:rFonts w:ascii="Sansa-Normal" w:hAnsi="Sansa-Normal"/>
          <w:sz w:val="24"/>
          <w:szCs w:val="24"/>
        </w:rPr>
        <w:t xml:space="preserve">Páginas: </w:t>
      </w:r>
    </w:p>
    <w:p w14:paraId="722FEEEA" w14:textId="472ED11E" w:rsidR="00452CA9" w:rsidRPr="00452CA9" w:rsidRDefault="00452CA9" w:rsidP="00452CA9">
      <w:pPr>
        <w:jc w:val="both"/>
        <w:rPr>
          <w:rFonts w:ascii="Sansa-Normal" w:hAnsi="Sansa-Normal"/>
          <w:sz w:val="24"/>
          <w:szCs w:val="24"/>
        </w:rPr>
      </w:pPr>
      <w:r w:rsidRPr="00452CA9">
        <w:rPr>
          <w:rFonts w:ascii="Sansa-Normal" w:hAnsi="Sansa-Normal"/>
          <w:sz w:val="24"/>
          <w:szCs w:val="24"/>
        </w:rPr>
        <w:t>Dirección General de Documentación, Información y Análisis    http://www.diputados.gob.mx/bibli</w:t>
      </w:r>
      <w:r>
        <w:rPr>
          <w:rFonts w:ascii="Sansa-Normal" w:hAnsi="Sansa-Normal"/>
          <w:sz w:val="24"/>
          <w:szCs w:val="24"/>
        </w:rPr>
        <w:t>ot/publica/prosparl/iifunci.htm</w:t>
      </w:r>
    </w:p>
    <w:p w14:paraId="37105AE7" w14:textId="6A19418A" w:rsidR="00452CA9" w:rsidRPr="00452CA9" w:rsidRDefault="00452CA9" w:rsidP="00452CA9">
      <w:pPr>
        <w:jc w:val="both"/>
        <w:rPr>
          <w:rFonts w:ascii="Sansa-Normal" w:hAnsi="Sansa-Normal"/>
          <w:sz w:val="24"/>
          <w:szCs w:val="24"/>
        </w:rPr>
      </w:pPr>
      <w:r w:rsidRPr="00452CA9">
        <w:rPr>
          <w:rFonts w:ascii="Sansa-Normal" w:hAnsi="Sansa-Normal"/>
          <w:sz w:val="24"/>
          <w:szCs w:val="24"/>
        </w:rPr>
        <w:t xml:space="preserve">Ley de Adquisiciones, Arrendamientos y Servicios del Sector Público    http://www.diputados.gob.mx/LeyesBiblio/pdf/14_101114.pdf </w:t>
      </w:r>
    </w:p>
    <w:p w14:paraId="74780806" w14:textId="65F43C92" w:rsidR="00452CA9" w:rsidRPr="00452CA9" w:rsidRDefault="00452CA9" w:rsidP="00452CA9">
      <w:pPr>
        <w:jc w:val="both"/>
        <w:rPr>
          <w:rFonts w:ascii="Sansa-Normal" w:hAnsi="Sansa-Normal"/>
          <w:sz w:val="24"/>
          <w:szCs w:val="24"/>
        </w:rPr>
      </w:pPr>
      <w:r w:rsidRPr="00452CA9">
        <w:rPr>
          <w:rFonts w:ascii="Sansa-Normal" w:hAnsi="Sansa-Normal"/>
          <w:sz w:val="24"/>
          <w:szCs w:val="24"/>
        </w:rPr>
        <w:t>Ley General de Transparencia y Acceso a la Información Pública  http://www.diputados.gob.mx/LeyesBiblio/ref/lgtaip.htm</w:t>
      </w:r>
    </w:p>
    <w:p w14:paraId="3BD8BF66" w14:textId="77777777" w:rsidR="00452CA9" w:rsidRPr="00452CA9" w:rsidRDefault="00452CA9" w:rsidP="00452CA9">
      <w:pPr>
        <w:jc w:val="both"/>
        <w:rPr>
          <w:rFonts w:ascii="Sansa-Normal" w:hAnsi="Sansa-Normal"/>
          <w:sz w:val="24"/>
          <w:szCs w:val="24"/>
        </w:rPr>
      </w:pPr>
      <w:r w:rsidRPr="00452CA9">
        <w:rPr>
          <w:rFonts w:ascii="Sansa-Normal" w:hAnsi="Sansa-Normal"/>
          <w:sz w:val="24"/>
          <w:szCs w:val="24"/>
        </w:rPr>
        <w:t>Reglamento Interior de la Auditoría Superior de la Federación</w:t>
      </w:r>
    </w:p>
    <w:p w14:paraId="701394D9" w14:textId="65C4AD64" w:rsidR="00452CA9" w:rsidRPr="00452CA9" w:rsidRDefault="00452CA9" w:rsidP="00452CA9">
      <w:pPr>
        <w:jc w:val="both"/>
        <w:rPr>
          <w:rFonts w:ascii="Sansa-Normal" w:hAnsi="Sansa-Normal"/>
          <w:sz w:val="24"/>
          <w:szCs w:val="24"/>
        </w:rPr>
      </w:pPr>
      <w:r w:rsidRPr="00452CA9">
        <w:rPr>
          <w:rFonts w:ascii="Sansa-Normal" w:hAnsi="Sansa-Normal"/>
          <w:sz w:val="24"/>
          <w:szCs w:val="24"/>
        </w:rPr>
        <w:t>http://asf.gob.mx/uploads/105_Auditor_Superior_de_la_Federacion/AtrASF.pdf</w:t>
      </w:r>
    </w:p>
    <w:p w14:paraId="3A42491C" w14:textId="77777777" w:rsidR="00452CA9" w:rsidRPr="00452CA9" w:rsidRDefault="00452CA9" w:rsidP="00452CA9">
      <w:pPr>
        <w:jc w:val="both"/>
        <w:rPr>
          <w:rFonts w:ascii="Sansa-Normal" w:hAnsi="Sansa-Normal"/>
          <w:sz w:val="24"/>
          <w:szCs w:val="24"/>
        </w:rPr>
      </w:pPr>
      <w:r w:rsidRPr="00452CA9">
        <w:rPr>
          <w:rFonts w:ascii="Sansa-Normal" w:hAnsi="Sansa-Normal"/>
          <w:sz w:val="24"/>
          <w:szCs w:val="24"/>
        </w:rPr>
        <w:t>Secretaría de Gobernación, (2012) Unidad General de Asuntos Jurídicos, recuperado (1 de noviembre del 2015) accedido a partir de: http://www.ordenjuridico.gob.mx/Constitucion/reformas.php</w:t>
      </w:r>
    </w:p>
    <w:p w14:paraId="2469DE70" w14:textId="2F1A0E5E" w:rsidR="00604987" w:rsidRPr="00E266D2" w:rsidRDefault="00604987" w:rsidP="00452CA9">
      <w:pPr>
        <w:jc w:val="both"/>
        <w:rPr>
          <w:rFonts w:ascii="Sansa-Normal" w:hAnsi="Sansa-Normal"/>
          <w:sz w:val="24"/>
          <w:szCs w:val="24"/>
        </w:rPr>
      </w:pPr>
      <w:bookmarkStart w:id="0" w:name="_GoBack"/>
      <w:bookmarkEnd w:id="0"/>
    </w:p>
    <w:sectPr w:rsidR="00604987" w:rsidRPr="00E266D2" w:rsidSect="00A74E2F">
      <w:headerReference w:type="default" r:id="rId10"/>
      <w:footerReference w:type="default" r:id="rId11"/>
      <w:pgSz w:w="12460" w:h="15520"/>
      <w:pgMar w:top="1701" w:right="758" w:bottom="851" w:left="1276" w:header="708" w:footer="708" w:gutter="0"/>
      <w:cols w:space="708"/>
      <w:docGrid w:linePitch="360"/>
      <w:printerSettings r:id="rId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0B8F0" w14:textId="77777777" w:rsidR="00E266D2" w:rsidRDefault="00E266D2" w:rsidP="000C56E4">
      <w:r>
        <w:separator/>
      </w:r>
    </w:p>
  </w:endnote>
  <w:endnote w:type="continuationSeparator" w:id="0">
    <w:p w14:paraId="03EE6BA2" w14:textId="77777777" w:rsidR="00E266D2" w:rsidRDefault="00E266D2" w:rsidP="000C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Sansa-Normal">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Dispatch-Black">
    <w:charset w:val="00"/>
    <w:family w:val="auto"/>
    <w:pitch w:val="variable"/>
    <w:sig w:usb0="00000003" w:usb1="00000000" w:usb2="00000000" w:usb3="00000000" w:csb0="00000001" w:csb1="00000000"/>
  </w:font>
  <w:font w:name="Sansa-Bold">
    <w:charset w:val="00"/>
    <w:family w:val="auto"/>
    <w:pitch w:val="variable"/>
    <w:sig w:usb0="00000003" w:usb1="00000000" w:usb2="00000000" w:usb3="00000000" w:csb0="00000001" w:csb1="00000000"/>
  </w:font>
  <w:font w:name="Dispatch-Regular">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7A6AA" w14:textId="349B3843" w:rsidR="00E266D2" w:rsidRDefault="00E266D2" w:rsidP="004F555F">
    <w:pPr>
      <w:pStyle w:val="Piedepgina"/>
      <w:ind w:left="-567"/>
    </w:pPr>
    <w:r>
      <w:rPr>
        <w:noProof/>
        <w:lang w:val="es-ES"/>
      </w:rPr>
      <w:drawing>
        <wp:anchor distT="0" distB="0" distL="114300" distR="114300" simplePos="0" relativeHeight="251661312" behindDoc="1" locked="0" layoutInCell="1" allowOverlap="1" wp14:anchorId="3D0EE476" wp14:editId="55108138">
          <wp:simplePos x="0" y="0"/>
          <wp:positionH relativeFrom="column">
            <wp:posOffset>-914400</wp:posOffset>
          </wp:positionH>
          <wp:positionV relativeFrom="paragraph">
            <wp:posOffset>172720</wp:posOffset>
          </wp:positionV>
          <wp:extent cx="8170985" cy="805590"/>
          <wp:effectExtent l="0" t="0" r="8255" b="7620"/>
          <wp:wrapNone/>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0985" cy="8055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0A1A4E4" w14:textId="77777777" w:rsidR="00E266D2" w:rsidRDefault="00E266D2" w:rsidP="006B2A8F">
    <w:pPr>
      <w:pStyle w:val="Piedepgina"/>
      <w:ind w:left="-284" w:hanging="28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3C852" w14:textId="77777777" w:rsidR="00E266D2" w:rsidRDefault="00E266D2" w:rsidP="000C56E4">
      <w:r>
        <w:separator/>
      </w:r>
    </w:p>
  </w:footnote>
  <w:footnote w:type="continuationSeparator" w:id="0">
    <w:p w14:paraId="143CF59E" w14:textId="77777777" w:rsidR="00E266D2" w:rsidRDefault="00E266D2" w:rsidP="000C56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45F62" w14:textId="56AB7D66" w:rsidR="00E266D2" w:rsidRDefault="00E266D2" w:rsidP="00E44C17">
    <w:pPr>
      <w:pStyle w:val="Encabezado"/>
      <w:tabs>
        <w:tab w:val="clear" w:pos="4252"/>
        <w:tab w:val="clear" w:pos="8504"/>
        <w:tab w:val="right" w:pos="11199"/>
      </w:tabs>
      <w:ind w:left="-426" w:hanging="425"/>
    </w:pPr>
    <w:r>
      <w:rPr>
        <w:noProof/>
        <w:lang w:val="es-ES"/>
      </w:rPr>
      <mc:AlternateContent>
        <mc:Choice Requires="wps">
          <w:drawing>
            <wp:anchor distT="0" distB="0" distL="114300" distR="114300" simplePos="0" relativeHeight="251660288" behindDoc="0" locked="0" layoutInCell="1" allowOverlap="1" wp14:anchorId="7CD50BEF" wp14:editId="124B8083">
              <wp:simplePos x="0" y="0"/>
              <wp:positionH relativeFrom="column">
                <wp:posOffset>-789940</wp:posOffset>
              </wp:positionH>
              <wp:positionV relativeFrom="paragraph">
                <wp:posOffset>-512445</wp:posOffset>
              </wp:positionV>
              <wp:extent cx="7876540" cy="9658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7876540" cy="9658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80615D" w14:textId="77777777" w:rsidR="00E266D2" w:rsidRPr="00D856E8" w:rsidRDefault="00E266D2" w:rsidP="009F1157">
                          <w:pPr>
                            <w:spacing w:after="0" w:line="240" w:lineRule="auto"/>
                            <w:jc w:val="center"/>
                            <w:rPr>
                              <w:rFonts w:ascii="Dispatch-Regular" w:hAnsi="Dispatch-Regular" w:cs="Dispatch-Regular"/>
                              <w:color w:val="FCBD00"/>
                              <w:sz w:val="24"/>
                              <w:szCs w:val="66"/>
                              <w:lang w:val="es-ES" w:eastAsia="es-ES"/>
                            </w:rPr>
                          </w:pPr>
                        </w:p>
                        <w:p w14:paraId="36D60A43" w14:textId="271E55E6" w:rsidR="00E266D2" w:rsidRDefault="00E266D2"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Introducción de la Materia</w:t>
                          </w:r>
                        </w:p>
                        <w:p w14:paraId="218269B6" w14:textId="77777777" w:rsidR="00E266D2" w:rsidRPr="00FA2C5B" w:rsidRDefault="00E266D2" w:rsidP="0052056B">
                          <w:pPr>
                            <w:spacing w:after="0" w:line="240" w:lineRule="auto"/>
                            <w:rPr>
                              <w:rFonts w:ascii="Dispatch-Regular" w:hAnsi="Dispatch-Regular" w:cs="Dispatch-Regular"/>
                              <w:color w:val="FCBD00"/>
                              <w:sz w:val="72"/>
                              <w:szCs w:val="56"/>
                              <w:lang w:val="es-ES"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7" o:spid="_x0000_s1026" type="#_x0000_t202" style="position:absolute;left:0;text-align:left;margin-left:-62.15pt;margin-top:-40.3pt;width:620.2pt;height:7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" filled="f" stroked="f">
              <v:textbox>
                <w:txbxContent>
                  <w:p w14:paraId="3F80615D" w14:textId="77777777" w:rsidR="00E266D2" w:rsidRPr="00D856E8" w:rsidRDefault="00E266D2" w:rsidP="009F1157">
                    <w:pPr>
                      <w:spacing w:after="0" w:line="240" w:lineRule="auto"/>
                      <w:jc w:val="center"/>
                      <w:rPr>
                        <w:rFonts w:ascii="Dispatch-Regular" w:hAnsi="Dispatch-Regular" w:cs="Dispatch-Regular"/>
                        <w:color w:val="FCBD00"/>
                        <w:sz w:val="24"/>
                        <w:szCs w:val="66"/>
                        <w:lang w:val="es-ES" w:eastAsia="es-ES"/>
                      </w:rPr>
                    </w:pPr>
                  </w:p>
                  <w:p w14:paraId="36D60A43" w14:textId="271E55E6" w:rsidR="00E266D2" w:rsidRDefault="00E266D2"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Introducción de la Materia</w:t>
                    </w:r>
                  </w:p>
                  <w:p w14:paraId="218269B6" w14:textId="77777777" w:rsidR="00E266D2" w:rsidRPr="00FA2C5B" w:rsidRDefault="00E266D2" w:rsidP="0052056B">
                    <w:pPr>
                      <w:spacing w:after="0" w:line="240" w:lineRule="auto"/>
                      <w:rPr>
                        <w:rFonts w:ascii="Dispatch-Regular" w:hAnsi="Dispatch-Regular" w:cs="Dispatch-Regular"/>
                        <w:color w:val="FCBD00"/>
                        <w:sz w:val="72"/>
                        <w:szCs w:val="56"/>
                        <w:lang w:val="es-ES" w:eastAsia="es-ES"/>
                      </w:rPr>
                    </w:pPr>
                  </w:p>
                </w:txbxContent>
              </v:textbox>
              <w10:wrap type="square"/>
            </v:shape>
          </w:pict>
        </mc:Fallback>
      </mc:AlternateContent>
    </w:r>
    <w:r>
      <w:rPr>
        <w:noProof/>
        <w:lang w:val="es-ES"/>
      </w:rPr>
      <w:drawing>
        <wp:anchor distT="0" distB="0" distL="114300" distR="114300" simplePos="0" relativeHeight="251658240" behindDoc="1" locked="0" layoutInCell="1" allowOverlap="1" wp14:anchorId="3DD37440" wp14:editId="78EFB219">
          <wp:simplePos x="0" y="0"/>
          <wp:positionH relativeFrom="column">
            <wp:posOffset>-914400</wp:posOffset>
          </wp:positionH>
          <wp:positionV relativeFrom="paragraph">
            <wp:posOffset>-512445</wp:posOffset>
          </wp:positionV>
          <wp:extent cx="8063670" cy="1195471"/>
          <wp:effectExtent l="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3670" cy="1195471"/>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53FF"/>
    <w:multiLevelType w:val="hybridMultilevel"/>
    <w:tmpl w:val="679657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24005DC"/>
    <w:multiLevelType w:val="hybridMultilevel"/>
    <w:tmpl w:val="EBF6B97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0DCB4F15"/>
    <w:multiLevelType w:val="hybridMultilevel"/>
    <w:tmpl w:val="54CC8BFC"/>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46D6044"/>
    <w:multiLevelType w:val="hybridMultilevel"/>
    <w:tmpl w:val="EBF6B97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150F249B"/>
    <w:multiLevelType w:val="hybridMultilevel"/>
    <w:tmpl w:val="EFCCED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17A70A2A"/>
    <w:multiLevelType w:val="hybridMultilevel"/>
    <w:tmpl w:val="F3EC554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19A32B38"/>
    <w:multiLevelType w:val="hybridMultilevel"/>
    <w:tmpl w:val="B438368E"/>
    <w:lvl w:ilvl="0" w:tplc="3A1CB9F4">
      <w:start w:val="1"/>
      <w:numFmt w:val="decimal"/>
      <w:lvlText w:val="%1."/>
      <w:lvlJc w:val="left"/>
      <w:pPr>
        <w:ind w:left="36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ED21BDE"/>
    <w:multiLevelType w:val="hybridMultilevel"/>
    <w:tmpl w:val="847885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4CE2C24"/>
    <w:multiLevelType w:val="hybridMultilevel"/>
    <w:tmpl w:val="1466F03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9">
    <w:nsid w:val="271224A0"/>
    <w:multiLevelType w:val="hybridMultilevel"/>
    <w:tmpl w:val="393077EE"/>
    <w:lvl w:ilvl="0" w:tplc="81368B3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7ED6789"/>
    <w:multiLevelType w:val="hybridMultilevel"/>
    <w:tmpl w:val="761229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2A287DD7"/>
    <w:multiLevelType w:val="hybridMultilevel"/>
    <w:tmpl w:val="03C2A0BE"/>
    <w:lvl w:ilvl="0" w:tplc="13A4E158">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2A567076"/>
    <w:multiLevelType w:val="hybridMultilevel"/>
    <w:tmpl w:val="EBF6B97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nsid w:val="2D513FCC"/>
    <w:multiLevelType w:val="hybridMultilevel"/>
    <w:tmpl w:val="E2BE324A"/>
    <w:lvl w:ilvl="0" w:tplc="C0389B18">
      <w:start w:val="1"/>
      <w:numFmt w:val="decimal"/>
      <w:lvlText w:val="%1."/>
      <w:lvlJc w:val="left"/>
      <w:pPr>
        <w:ind w:left="360" w:hanging="360"/>
      </w:pPr>
      <w:rPr>
        <w:rFonts w:ascii="Calibri" w:hAnsi="Calibri" w:cs="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E2462BF"/>
    <w:multiLevelType w:val="hybridMultilevel"/>
    <w:tmpl w:val="1F80B95A"/>
    <w:lvl w:ilvl="0" w:tplc="5BC62DD4">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nsid w:val="37062732"/>
    <w:multiLevelType w:val="hybridMultilevel"/>
    <w:tmpl w:val="A1BE6B1A"/>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6">
    <w:nsid w:val="38BE0DB7"/>
    <w:multiLevelType w:val="hybridMultilevel"/>
    <w:tmpl w:val="F9889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9E95AC9"/>
    <w:multiLevelType w:val="multilevel"/>
    <w:tmpl w:val="24E235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14E0579"/>
    <w:multiLevelType w:val="hybridMultilevel"/>
    <w:tmpl w:val="1CC635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F373B05"/>
    <w:multiLevelType w:val="hybridMultilevel"/>
    <w:tmpl w:val="9480595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nsid w:val="52C103E5"/>
    <w:multiLevelType w:val="hybridMultilevel"/>
    <w:tmpl w:val="3EB658D2"/>
    <w:lvl w:ilvl="0" w:tplc="F8A219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7BD3763"/>
    <w:multiLevelType w:val="hybridMultilevel"/>
    <w:tmpl w:val="792850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9060F94"/>
    <w:multiLevelType w:val="hybridMultilevel"/>
    <w:tmpl w:val="FA426A1A"/>
    <w:lvl w:ilvl="0" w:tplc="B91025A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98B7E4C"/>
    <w:multiLevelType w:val="hybridMultilevel"/>
    <w:tmpl w:val="49B8A004"/>
    <w:lvl w:ilvl="0" w:tplc="630647CA">
      <w:start w:val="1"/>
      <w:numFmt w:val="decimal"/>
      <w:lvlText w:val="%1."/>
      <w:lvlJc w:val="left"/>
      <w:pPr>
        <w:ind w:left="108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4">
    <w:nsid w:val="5A291090"/>
    <w:multiLevelType w:val="hybridMultilevel"/>
    <w:tmpl w:val="4B929B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B2B4289"/>
    <w:multiLevelType w:val="hybridMultilevel"/>
    <w:tmpl w:val="12768D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B6E6323"/>
    <w:multiLevelType w:val="hybridMultilevel"/>
    <w:tmpl w:val="9F4EFC8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nsid w:val="63701162"/>
    <w:multiLevelType w:val="hybridMultilevel"/>
    <w:tmpl w:val="C7BC2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7B31CE1"/>
    <w:multiLevelType w:val="hybridMultilevel"/>
    <w:tmpl w:val="C8FCFB20"/>
    <w:lvl w:ilvl="0" w:tplc="09043B6A">
      <w:start w:val="3"/>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9">
    <w:nsid w:val="692B74BA"/>
    <w:multiLevelType w:val="hybridMultilevel"/>
    <w:tmpl w:val="BC521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FD044DB"/>
    <w:multiLevelType w:val="hybridMultilevel"/>
    <w:tmpl w:val="EFAC242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0BD6597"/>
    <w:multiLevelType w:val="hybridMultilevel"/>
    <w:tmpl w:val="630EA69A"/>
    <w:lvl w:ilvl="0" w:tplc="520890B8">
      <w:start w:val="7"/>
      <w:numFmt w:val="bullet"/>
      <w:lvlText w:val="−"/>
      <w:lvlJc w:val="left"/>
      <w:pPr>
        <w:ind w:left="1060" w:hanging="700"/>
      </w:pPr>
      <w:rPr>
        <w:rFonts w:ascii="Sansa-Normal" w:eastAsiaTheme="minorEastAsia" w:hAnsi="Sansa-Normal"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34E501A"/>
    <w:multiLevelType w:val="hybridMultilevel"/>
    <w:tmpl w:val="EFAC2424"/>
    <w:lvl w:ilvl="0" w:tplc="080A000F">
      <w:start w:val="1"/>
      <w:numFmt w:val="decimal"/>
      <w:lvlText w:val="%1."/>
      <w:lvlJc w:val="left"/>
      <w:pPr>
        <w:ind w:left="106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3">
    <w:nsid w:val="73AE30F1"/>
    <w:multiLevelType w:val="hybridMultilevel"/>
    <w:tmpl w:val="6F34B3D6"/>
    <w:lvl w:ilvl="0" w:tplc="91C24B40">
      <w:start w:val="2"/>
      <w:numFmt w:val="bullet"/>
      <w:lvlText w:val="−"/>
      <w:lvlJc w:val="left"/>
      <w:pPr>
        <w:ind w:left="1060" w:hanging="700"/>
      </w:pPr>
      <w:rPr>
        <w:rFonts w:ascii="Sansa-Normal" w:eastAsiaTheme="minorEastAsia" w:hAnsi="Sansa-Norma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50D343F"/>
    <w:multiLevelType w:val="hybridMultilevel"/>
    <w:tmpl w:val="D9D66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A402F18"/>
    <w:multiLevelType w:val="hybridMultilevel"/>
    <w:tmpl w:val="EBF6B97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9"/>
  </w:num>
  <w:num w:numId="2">
    <w:abstractNumId w:val="16"/>
  </w:num>
  <w:num w:numId="3">
    <w:abstractNumId w:val="20"/>
  </w:num>
  <w:num w:numId="4">
    <w:abstractNumId w:val="17"/>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22"/>
  </w:num>
  <w:num w:numId="10">
    <w:abstractNumId w:val="29"/>
  </w:num>
  <w:num w:numId="11">
    <w:abstractNumId w:val="24"/>
  </w:num>
  <w:num w:numId="12">
    <w:abstractNumId w:val="7"/>
  </w:num>
  <w:num w:numId="13">
    <w:abstractNumId w:val="30"/>
  </w:num>
  <w:num w:numId="14">
    <w:abstractNumId w:val="32"/>
  </w:num>
  <w:num w:numId="15">
    <w:abstractNumId w:val="2"/>
  </w:num>
  <w:num w:numId="16">
    <w:abstractNumId w:val="26"/>
  </w:num>
  <w:num w:numId="17">
    <w:abstractNumId w:val="27"/>
  </w:num>
  <w:num w:numId="18">
    <w:abstractNumId w:val="34"/>
  </w:num>
  <w:num w:numId="19">
    <w:abstractNumId w:val="14"/>
  </w:num>
  <w:num w:numId="20">
    <w:abstractNumId w:val="11"/>
  </w:num>
  <w:num w:numId="21">
    <w:abstractNumId w:val="4"/>
  </w:num>
  <w:num w:numId="22">
    <w:abstractNumId w:val="0"/>
  </w:num>
  <w:num w:numId="23">
    <w:abstractNumId w:val="19"/>
  </w:num>
  <w:num w:numId="24">
    <w:abstractNumId w:val="10"/>
  </w:num>
  <w:num w:numId="25">
    <w:abstractNumId w:val="25"/>
  </w:num>
  <w:num w:numId="26">
    <w:abstractNumId w:val="21"/>
  </w:num>
  <w:num w:numId="27">
    <w:abstractNumId w:val="5"/>
  </w:num>
  <w:num w:numId="28">
    <w:abstractNumId w:val="15"/>
  </w:num>
  <w:num w:numId="29">
    <w:abstractNumId w:val="13"/>
  </w:num>
  <w:num w:numId="30">
    <w:abstractNumId w:val="6"/>
  </w:num>
  <w:num w:numId="31">
    <w:abstractNumId w:val="35"/>
  </w:num>
  <w:num w:numId="32">
    <w:abstractNumId w:val="12"/>
  </w:num>
  <w:num w:numId="33">
    <w:abstractNumId w:val="1"/>
  </w:num>
  <w:num w:numId="34">
    <w:abstractNumId w:val="3"/>
  </w:num>
  <w:num w:numId="35">
    <w:abstractNumId w:val="31"/>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savePreviewPicture/>
  <w:hdrShapeDefaults>
    <o:shapedefaults v:ext="edit" spidmax="2051">
      <o:colormenu v:ext="edit" fillcolor="#36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6E4"/>
    <w:rsid w:val="00005F0E"/>
    <w:rsid w:val="0003791D"/>
    <w:rsid w:val="0004485E"/>
    <w:rsid w:val="0006642A"/>
    <w:rsid w:val="000C56E4"/>
    <w:rsid w:val="000E3AF1"/>
    <w:rsid w:val="00114A5D"/>
    <w:rsid w:val="001408BB"/>
    <w:rsid w:val="00170F38"/>
    <w:rsid w:val="00175BD2"/>
    <w:rsid w:val="0018094E"/>
    <w:rsid w:val="00214F9E"/>
    <w:rsid w:val="002452F5"/>
    <w:rsid w:val="00264981"/>
    <w:rsid w:val="00271417"/>
    <w:rsid w:val="002C25F6"/>
    <w:rsid w:val="002C5D7E"/>
    <w:rsid w:val="002D71CD"/>
    <w:rsid w:val="002E34DD"/>
    <w:rsid w:val="002E3CFD"/>
    <w:rsid w:val="002F433B"/>
    <w:rsid w:val="00305F1F"/>
    <w:rsid w:val="003064B8"/>
    <w:rsid w:val="00343EB9"/>
    <w:rsid w:val="0039235F"/>
    <w:rsid w:val="003C10FB"/>
    <w:rsid w:val="003D431C"/>
    <w:rsid w:val="003D510C"/>
    <w:rsid w:val="003E53E7"/>
    <w:rsid w:val="00414266"/>
    <w:rsid w:val="00416ABB"/>
    <w:rsid w:val="00452CA9"/>
    <w:rsid w:val="00475446"/>
    <w:rsid w:val="004918B3"/>
    <w:rsid w:val="004F555F"/>
    <w:rsid w:val="0052056B"/>
    <w:rsid w:val="005639CC"/>
    <w:rsid w:val="005A1539"/>
    <w:rsid w:val="005C770C"/>
    <w:rsid w:val="005D53CF"/>
    <w:rsid w:val="005F42A2"/>
    <w:rsid w:val="00604987"/>
    <w:rsid w:val="00617C2D"/>
    <w:rsid w:val="00625AF7"/>
    <w:rsid w:val="00632E0D"/>
    <w:rsid w:val="00663B8D"/>
    <w:rsid w:val="00681B3C"/>
    <w:rsid w:val="0068742F"/>
    <w:rsid w:val="00695EFB"/>
    <w:rsid w:val="00696502"/>
    <w:rsid w:val="00696D11"/>
    <w:rsid w:val="006B2A8F"/>
    <w:rsid w:val="006B70CD"/>
    <w:rsid w:val="00703456"/>
    <w:rsid w:val="007174A4"/>
    <w:rsid w:val="00780D6B"/>
    <w:rsid w:val="007852CE"/>
    <w:rsid w:val="00794373"/>
    <w:rsid w:val="007A02A5"/>
    <w:rsid w:val="007B0549"/>
    <w:rsid w:val="007C352A"/>
    <w:rsid w:val="007E15BB"/>
    <w:rsid w:val="0084096C"/>
    <w:rsid w:val="00851A71"/>
    <w:rsid w:val="00884708"/>
    <w:rsid w:val="008B4187"/>
    <w:rsid w:val="00927DB0"/>
    <w:rsid w:val="00954389"/>
    <w:rsid w:val="009678FA"/>
    <w:rsid w:val="009A3FDE"/>
    <w:rsid w:val="009C2D6F"/>
    <w:rsid w:val="009F1157"/>
    <w:rsid w:val="00A73CB4"/>
    <w:rsid w:val="00A74E2F"/>
    <w:rsid w:val="00AC1CD5"/>
    <w:rsid w:val="00AF22D2"/>
    <w:rsid w:val="00AF4C80"/>
    <w:rsid w:val="00B33BD3"/>
    <w:rsid w:val="00B416C4"/>
    <w:rsid w:val="00B46003"/>
    <w:rsid w:val="00B751BB"/>
    <w:rsid w:val="00BB7525"/>
    <w:rsid w:val="00BD2484"/>
    <w:rsid w:val="00BF2A7F"/>
    <w:rsid w:val="00C03339"/>
    <w:rsid w:val="00C36C08"/>
    <w:rsid w:val="00C5401B"/>
    <w:rsid w:val="00C55B85"/>
    <w:rsid w:val="00C6224F"/>
    <w:rsid w:val="00C8224D"/>
    <w:rsid w:val="00CA200B"/>
    <w:rsid w:val="00CC6A64"/>
    <w:rsid w:val="00CE04E5"/>
    <w:rsid w:val="00CF39A8"/>
    <w:rsid w:val="00D5536C"/>
    <w:rsid w:val="00D6286B"/>
    <w:rsid w:val="00D70C51"/>
    <w:rsid w:val="00D7325C"/>
    <w:rsid w:val="00D856E8"/>
    <w:rsid w:val="00DB30AC"/>
    <w:rsid w:val="00DB35CC"/>
    <w:rsid w:val="00DE64AE"/>
    <w:rsid w:val="00DF2293"/>
    <w:rsid w:val="00E06C8E"/>
    <w:rsid w:val="00E266D2"/>
    <w:rsid w:val="00E342E9"/>
    <w:rsid w:val="00E44C17"/>
    <w:rsid w:val="00E60597"/>
    <w:rsid w:val="00E67127"/>
    <w:rsid w:val="00E974DE"/>
    <w:rsid w:val="00EA3784"/>
    <w:rsid w:val="00EB4AED"/>
    <w:rsid w:val="00EB7E40"/>
    <w:rsid w:val="00F315E4"/>
    <w:rsid w:val="00F36010"/>
    <w:rsid w:val="00F66241"/>
    <w:rsid w:val="00FA2C5B"/>
    <w:rsid w:val="00FA36F9"/>
    <w:rsid w:val="00FC4183"/>
    <w:rsid w:val="00FE2122"/>
    <w:rsid w:val="00FF71A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36f"/>
    </o:shapedefaults>
    <o:shapelayout v:ext="edit">
      <o:idmap v:ext="edit" data="2"/>
    </o:shapelayout>
  </w:shapeDefaults>
  <w:decimalSymbol w:val="."/>
  <w:listSeparator w:val=","/>
  <w14:docId w14:val="253ECD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uiPriority w:val="34"/>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 w:type="table" w:customStyle="1" w:styleId="Tabladelista6concolores1">
    <w:name w:val="Tabla de lista 6 con colores1"/>
    <w:basedOn w:val="Tablanormal"/>
    <w:uiPriority w:val="51"/>
    <w:rsid w:val="00681B3C"/>
    <w:rPr>
      <w:rFonts w:eastAsiaTheme="minorHAnsi"/>
      <w:color w:val="000000" w:themeColor="text1"/>
      <w:sz w:val="22"/>
      <w:szCs w:val="22"/>
      <w:lang w:val="es-MX" w:eastAsia="en-US"/>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ombreadomediano1">
    <w:name w:val="Medium Shading 1"/>
    <w:basedOn w:val="Tablanormal"/>
    <w:uiPriority w:val="63"/>
    <w:rsid w:val="002C25F6"/>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uiPriority w:val="34"/>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 w:type="table" w:customStyle="1" w:styleId="Tabladelista6concolores1">
    <w:name w:val="Tabla de lista 6 con colores1"/>
    <w:basedOn w:val="Tablanormal"/>
    <w:uiPriority w:val="51"/>
    <w:rsid w:val="00681B3C"/>
    <w:rPr>
      <w:rFonts w:eastAsiaTheme="minorHAnsi"/>
      <w:color w:val="000000" w:themeColor="text1"/>
      <w:sz w:val="22"/>
      <w:szCs w:val="22"/>
      <w:lang w:val="es-MX" w:eastAsia="en-US"/>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ombreadomediano1">
    <w:name w:val="Medium Shading 1"/>
    <w:basedOn w:val="Tablanormal"/>
    <w:uiPriority w:val="63"/>
    <w:rsid w:val="002C25F6"/>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427400">
      <w:bodyDiv w:val="1"/>
      <w:marLeft w:val="0"/>
      <w:marRight w:val="0"/>
      <w:marTop w:val="0"/>
      <w:marBottom w:val="0"/>
      <w:divBdr>
        <w:top w:val="none" w:sz="0" w:space="0" w:color="auto"/>
        <w:left w:val="none" w:sz="0" w:space="0" w:color="auto"/>
        <w:bottom w:val="none" w:sz="0" w:space="0" w:color="auto"/>
        <w:right w:val="none" w:sz="0" w:space="0" w:color="auto"/>
      </w:divBdr>
      <w:divsChild>
        <w:div w:id="1005523728">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printerSettings" Target="printerSettings/printerSettings1.bin"/><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7D0FA-7C0E-324C-BAF0-C5700CD14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1612</Words>
  <Characters>8867</Characters>
  <Application>Microsoft Macintosh Word</Application>
  <DocSecurity>0</DocSecurity>
  <Lines>73</Lines>
  <Paragraphs>20</Paragraphs>
  <ScaleCrop>false</ScaleCrop>
  <Company/>
  <LinksUpToDate>false</LinksUpToDate>
  <CharactersWithSpaces>10459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Aida Porter</cp:lastModifiedBy>
  <cp:revision>3</cp:revision>
  <cp:lastPrinted>2018-05-30T09:15:00Z</cp:lastPrinted>
  <dcterms:created xsi:type="dcterms:W3CDTF">2018-05-30T09:15:00Z</dcterms:created>
  <dcterms:modified xsi:type="dcterms:W3CDTF">2018-05-30T09:16:00Z</dcterms:modified>
</cp:coreProperties>
</file>