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D22551">
      <w:pPr>
        <w:jc w:val="both"/>
        <w:rPr>
          <w:rFonts w:ascii="Dispatch-Black" w:hAnsi="Dispatch-Black" w:cstheme="minorHAnsi"/>
          <w:color w:val="3366FF"/>
          <w:sz w:val="28"/>
          <w:szCs w:val="28"/>
        </w:rPr>
      </w:pPr>
    </w:p>
    <w:p w14:paraId="7A3F9C78"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Un estado centralizado es aquel en el cual su poder es atribuido a un gobierno central, de manera que los gobiernos locales actúan como sus agentes. En el caso de un Estado descentralizado aún no centralizado, se otorga mayor poder a los gobiernos locales, que les permite tomar decisiones propias sobre su esfera de competencias.</w:t>
      </w:r>
    </w:p>
    <w:p w14:paraId="5E852C23" w14:textId="4FB2B423"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descentralización de un Estado puede ser política, administrativa y social en distintos grados o niveles.</w:t>
      </w:r>
    </w:p>
    <w:p w14:paraId="7BBDC3DA" w14:textId="15B59402"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Centralización Administrativa</w:t>
      </w:r>
    </w:p>
    <w:p w14:paraId="3A0F6DF1"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centralización es una forma de la organización administrativa en el cual los entes del poder ejecutivo se estructuran bajo el mando unificado y directo del titular de la administración pública.</w:t>
      </w:r>
    </w:p>
    <w:p w14:paraId="0E50108E" w14:textId="71FBDCC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centralización existe cuando el conjunto de órganos administrativos está enlazado bajo la dirección de un órgano central único.</w:t>
      </w:r>
    </w:p>
    <w:p w14:paraId="3097C42B"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relación jerárquica.- La centralización implica concentrar el poder y ejercerlo por medio de la llamada relación jerárquica.</w:t>
      </w:r>
    </w:p>
    <w:p w14:paraId="3D8FBE7F" w14:textId="6651A624"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Ese enlace de órganos y sus titulares con el jefe de gobierno sigue una escala piramidal, casi de tipo militar, ello permite una línea decisoria unificada, y en eso radica la primordial ventaja de esta forma de organización administrativa; además, es por esa vía como la voluntad del órgano superior se impulsa hasta llegar al que la ha de externar o ejecutar.</w:t>
      </w:r>
    </w:p>
    <w:p w14:paraId="672720D0" w14:textId="655FA9FD"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Se ha analizado cómo esta rigidez jerárquica tiende a atenuarse con la proliferación de ciertos organismos colegiados.</w:t>
      </w:r>
    </w:p>
    <w:p w14:paraId="6322A76C"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Facultades que implica la relación jerárquica.- Los poderes o facultades que se derivan de la relación jerárquica son estudiados con diversas variantes por los especialistas de derecho administrativo, en nuestro caso veremos que esos poderes son: de decisión, de nombramiento, de mando, de revisión, de vigilancia, de disciplina y de resolución de conflictos de competencia.</w:t>
      </w:r>
    </w:p>
    <w:p w14:paraId="437DCE99" w14:textId="77777777" w:rsidR="00D22551" w:rsidRDefault="00D22551" w:rsidP="00D22551">
      <w:pPr>
        <w:jc w:val="both"/>
        <w:rPr>
          <w:rFonts w:ascii="Sansa-Normal" w:eastAsia="Times New Roman" w:hAnsi="Sansa-Normal" w:cstheme="minorHAnsi"/>
          <w:iCs/>
          <w:sz w:val="24"/>
          <w:szCs w:val="24"/>
        </w:rPr>
      </w:pPr>
    </w:p>
    <w:p w14:paraId="220932DE" w14:textId="77777777" w:rsidR="00D22551" w:rsidRDefault="00D22551" w:rsidP="00D22551">
      <w:pPr>
        <w:jc w:val="both"/>
        <w:rPr>
          <w:rFonts w:ascii="Sansa-Normal" w:eastAsia="Times New Roman" w:hAnsi="Sansa-Normal" w:cstheme="minorHAnsi"/>
          <w:iCs/>
          <w:sz w:val="24"/>
          <w:szCs w:val="24"/>
        </w:rPr>
      </w:pPr>
    </w:p>
    <w:p w14:paraId="55F12DF6" w14:textId="77777777" w:rsidR="00D22551" w:rsidRDefault="00D22551" w:rsidP="00D22551">
      <w:pPr>
        <w:jc w:val="both"/>
        <w:rPr>
          <w:rFonts w:ascii="Sansa-Normal" w:eastAsia="Times New Roman" w:hAnsi="Sansa-Normal" w:cstheme="minorHAnsi"/>
          <w:iCs/>
          <w:sz w:val="24"/>
          <w:szCs w:val="24"/>
        </w:rPr>
      </w:pPr>
    </w:p>
    <w:p w14:paraId="207D22DE" w14:textId="77777777" w:rsidR="00D22551" w:rsidRPr="00D22551" w:rsidRDefault="00D22551" w:rsidP="00D22551">
      <w:pPr>
        <w:jc w:val="both"/>
        <w:rPr>
          <w:rFonts w:ascii="Sansa-Normal" w:eastAsia="Times New Roman" w:hAnsi="Sansa-Normal" w:cstheme="minorHAnsi"/>
          <w:iCs/>
          <w:sz w:val="24"/>
          <w:szCs w:val="24"/>
        </w:rPr>
      </w:pPr>
    </w:p>
    <w:p w14:paraId="4C6BA0CB"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Descentralización Administrativa</w:t>
      </w:r>
    </w:p>
    <w:p w14:paraId="58046416"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descentralización como forma de organización administrativa, surge de la necesidad de imprimirle dinamismo a ciertas acciones gubernamentales mediante el ahorro de los pasos que implica el poder del ejercicio del poder jerárquico propio de los entes centralizados en su surgimiento, influyó la incursión del estado dentro de actividades industriales, financieras y comerciales, las cuales implicaban conferirle un matiz de empresa privada a las organizaciones encargadas de estas tareas.</w:t>
      </w:r>
    </w:p>
    <w:p w14:paraId="4BB1C7D5" w14:textId="7BAF52B8"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descentralización administrativa es una forma de organización de entes que pertenece al poder ejecutivo, y los cuales están dotados de su propia personalidad jurídica y de autonomía jerárquica para efectuar tareas administrativas.</w:t>
      </w:r>
    </w:p>
    <w:p w14:paraId="7E4C2379"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Desconcentración Administrativa</w:t>
      </w:r>
    </w:p>
    <w:p w14:paraId="49F9C4C7"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desconcentración es una de las formas de organización administrativa; modo de estructurar los entes públicos en su dependencia con el jefe del ejecutivo. Implica una manera de diluir el poder y la competencia en los subordinados, para despachar asuntos.</w:t>
      </w:r>
    </w:p>
    <w:p w14:paraId="0DFEEED2" w14:textId="77777777" w:rsidR="00D22551" w:rsidRP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Los entes desconcentrados forman parte de los órganos centralizados, por tanto no llegan a tener personalidad jurídica propia.</w:t>
      </w:r>
    </w:p>
    <w:p w14:paraId="081CB0AE" w14:textId="77777777" w:rsidR="00D22551" w:rsidRDefault="00D22551" w:rsidP="00D22551">
      <w:pPr>
        <w:jc w:val="both"/>
        <w:rPr>
          <w:rFonts w:ascii="Sansa-Normal" w:eastAsia="Times New Roman" w:hAnsi="Sansa-Normal" w:cstheme="minorHAnsi"/>
          <w:iCs/>
          <w:sz w:val="24"/>
          <w:szCs w:val="24"/>
        </w:rPr>
      </w:pPr>
      <w:r w:rsidRPr="00D22551">
        <w:rPr>
          <w:rFonts w:ascii="Sansa-Normal" w:eastAsia="Times New Roman" w:hAnsi="Sansa-Normal" w:cstheme="minorHAnsi"/>
          <w:iCs/>
          <w:sz w:val="24"/>
          <w:szCs w:val="24"/>
        </w:rPr>
        <w:t>La desconcentración administrativa consiste en una forma de organización en la que los entes públicos, aun cuando dependen jerárquicamente de un órgano centralizado, gozan de cierta autonomía técnica y funcional.</w:t>
      </w:r>
    </w:p>
    <w:p w14:paraId="173B73B9" w14:textId="77777777" w:rsidR="00D22551" w:rsidRDefault="00D22551" w:rsidP="00D22551">
      <w:pPr>
        <w:jc w:val="both"/>
        <w:rPr>
          <w:rFonts w:ascii="Sansa-Normal" w:eastAsia="Times New Roman" w:hAnsi="Sansa-Normal" w:cstheme="minorHAnsi"/>
          <w:iCs/>
          <w:sz w:val="24"/>
          <w:szCs w:val="24"/>
        </w:rPr>
      </w:pPr>
    </w:p>
    <w:p w14:paraId="5ED34092" w14:textId="77777777" w:rsidR="00D22551" w:rsidRDefault="00D22551" w:rsidP="00D22551">
      <w:pPr>
        <w:jc w:val="both"/>
        <w:rPr>
          <w:rFonts w:ascii="Sansa-Normal" w:eastAsia="Times New Roman" w:hAnsi="Sansa-Normal" w:cstheme="minorHAnsi"/>
          <w:iCs/>
          <w:sz w:val="24"/>
          <w:szCs w:val="24"/>
        </w:rPr>
      </w:pPr>
    </w:p>
    <w:p w14:paraId="6960FC00" w14:textId="77777777" w:rsidR="00D22551" w:rsidRPr="00D22551" w:rsidRDefault="00D22551" w:rsidP="00D22551">
      <w:pPr>
        <w:jc w:val="both"/>
        <w:rPr>
          <w:rFonts w:ascii="Sansa-Normal" w:eastAsia="Times New Roman" w:hAnsi="Sansa-Normal" w:cstheme="minorHAnsi"/>
          <w:iCs/>
          <w:sz w:val="24"/>
          <w:szCs w:val="24"/>
        </w:rPr>
      </w:pPr>
      <w:bookmarkStart w:id="0" w:name="_GoBack"/>
      <w:bookmarkEnd w:id="0"/>
    </w:p>
    <w:p w14:paraId="478BEE1F" w14:textId="77777777" w:rsidR="00D22551" w:rsidRPr="00D22551" w:rsidRDefault="00822684" w:rsidP="00D22551">
      <w:pPr>
        <w:jc w:val="right"/>
        <w:rPr>
          <w:rFonts w:ascii="Sansa-Normal" w:eastAsia="Times New Roman" w:hAnsi="Sansa-Normal" w:cstheme="minorHAnsi"/>
          <w:iCs/>
          <w:sz w:val="20"/>
          <w:szCs w:val="20"/>
        </w:rPr>
      </w:pPr>
      <w:r w:rsidRPr="00822684">
        <w:rPr>
          <w:rFonts w:ascii="Sansa-Normal" w:eastAsia="Times New Roman" w:hAnsi="Sansa-Normal" w:cstheme="minorHAnsi"/>
          <w:iCs/>
          <w:sz w:val="24"/>
          <w:szCs w:val="24"/>
        </w:rPr>
        <w:tab/>
      </w:r>
      <w:r w:rsidRPr="00822684">
        <w:rPr>
          <w:rFonts w:ascii="Sansa-Normal" w:eastAsia="Times New Roman" w:hAnsi="Sansa-Normal" w:cstheme="minorHAnsi"/>
          <w:iCs/>
          <w:sz w:val="20"/>
          <w:szCs w:val="20"/>
        </w:rPr>
        <w:t xml:space="preserve">                  </w:t>
      </w:r>
      <w:r w:rsidR="00D22551" w:rsidRPr="00D22551">
        <w:rPr>
          <w:rFonts w:ascii="Sansa-Normal" w:eastAsia="Times New Roman" w:hAnsi="Sansa-Normal" w:cstheme="minorHAnsi"/>
          <w:iCs/>
          <w:sz w:val="20"/>
          <w:szCs w:val="20"/>
        </w:rPr>
        <w:t>Referencia:</w:t>
      </w:r>
    </w:p>
    <w:p w14:paraId="5E3AF7A6" w14:textId="77777777" w:rsidR="00D22551" w:rsidRPr="00D22551" w:rsidRDefault="00D22551" w:rsidP="00D22551">
      <w:pPr>
        <w:jc w:val="right"/>
        <w:rPr>
          <w:rFonts w:ascii="Sansa-Normal" w:eastAsia="Times New Roman" w:hAnsi="Sansa-Normal" w:cstheme="minorHAnsi"/>
          <w:iCs/>
          <w:sz w:val="20"/>
          <w:szCs w:val="20"/>
        </w:rPr>
      </w:pPr>
      <w:r w:rsidRPr="00D22551">
        <w:rPr>
          <w:rFonts w:ascii="Sansa-Normal" w:eastAsia="Times New Roman" w:hAnsi="Sansa-Normal" w:cstheme="minorHAnsi"/>
          <w:iCs/>
          <w:sz w:val="20"/>
          <w:szCs w:val="20"/>
        </w:rPr>
        <w:t>Quiroga J. (1994) Centralización y Descentralización Administrativas y Delegados del Gobierno, Madrid:2a .ed.</w:t>
      </w:r>
    </w:p>
    <w:p w14:paraId="08A108CE" w14:textId="76AC3576" w:rsidR="0021769E" w:rsidRPr="00822684" w:rsidRDefault="0021769E" w:rsidP="00D22551">
      <w:pPr>
        <w:jc w:val="both"/>
        <w:rPr>
          <w:rFonts w:ascii="Sansa-Normal" w:eastAsia="Times New Roman" w:hAnsi="Sansa-Normal" w:cstheme="minorHAnsi"/>
          <w:iCs/>
          <w:sz w:val="20"/>
          <w:szCs w:val="20"/>
        </w:rPr>
      </w:pPr>
    </w:p>
    <w:sectPr w:rsidR="0021769E" w:rsidRPr="00822684" w:rsidSect="00D22551">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C35E74F" w:rsidR="00CB1478" w:rsidRPr="00CF0D24" w:rsidRDefault="00D22551" w:rsidP="0052056B">
                          <w:pPr>
                            <w:spacing w:after="0" w:line="240" w:lineRule="auto"/>
                            <w:rPr>
                              <w:rFonts w:ascii="Dispatch-Regular" w:hAnsi="Dispatch-Regular" w:cs="Dispatch-Regular"/>
                              <w:color w:val="FCBD00"/>
                              <w:sz w:val="40"/>
                              <w:szCs w:val="40"/>
                              <w:lang w:val="es-ES" w:eastAsia="es-ES"/>
                            </w:rPr>
                          </w:pPr>
                          <w:r>
                            <w:rPr>
                              <w:rFonts w:ascii="Dispatch-Regular" w:hAnsi="Dispatch-Regular" w:cs="Dispatch-Regular"/>
                              <w:color w:val="FCBD00"/>
                              <w:sz w:val="40"/>
                              <w:szCs w:val="40"/>
                              <w:lang w:val="es-ES" w:eastAsia="es-ES"/>
                            </w:rPr>
                            <w:t>Régimen Jurídico de la Centralización, Descentralización y Desconcentración Administrativa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C35E74F" w:rsidR="00CB1478" w:rsidRPr="00CF0D24" w:rsidRDefault="00D22551" w:rsidP="0052056B">
                    <w:pPr>
                      <w:spacing w:after="0" w:line="240" w:lineRule="auto"/>
                      <w:rPr>
                        <w:rFonts w:ascii="Dispatch-Regular" w:hAnsi="Dispatch-Regular" w:cs="Dispatch-Regular"/>
                        <w:color w:val="FCBD00"/>
                        <w:sz w:val="40"/>
                        <w:szCs w:val="40"/>
                        <w:lang w:val="es-ES" w:eastAsia="es-ES"/>
                      </w:rPr>
                    </w:pPr>
                    <w:r>
                      <w:rPr>
                        <w:rFonts w:ascii="Dispatch-Regular" w:hAnsi="Dispatch-Regular" w:cs="Dispatch-Regular"/>
                        <w:color w:val="FCBD00"/>
                        <w:sz w:val="40"/>
                        <w:szCs w:val="40"/>
                        <w:lang w:val="es-ES" w:eastAsia="es-ES"/>
                      </w:rPr>
                      <w:t>Régimen Jurídico de la Centralización, Descentralización y Desconcentración Administrativa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642EE2"/>
    <w:multiLevelType w:val="multilevel"/>
    <w:tmpl w:val="AEF2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F49691C"/>
    <w:multiLevelType w:val="multilevel"/>
    <w:tmpl w:val="5F9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B1FF3"/>
    <w:multiLevelType w:val="multilevel"/>
    <w:tmpl w:val="D17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20"/>
  </w:num>
  <w:num w:numId="4">
    <w:abstractNumId w:val="1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9"/>
  </w:num>
  <w:num w:numId="11">
    <w:abstractNumId w:val="24"/>
  </w:num>
  <w:num w:numId="12">
    <w:abstractNumId w:val="5"/>
  </w:num>
  <w:num w:numId="13">
    <w:abstractNumId w:val="30"/>
  </w:num>
  <w:num w:numId="14">
    <w:abstractNumId w:val="31"/>
  </w:num>
  <w:num w:numId="15">
    <w:abstractNumId w:val="1"/>
  </w:num>
  <w:num w:numId="16">
    <w:abstractNumId w:val="26"/>
  </w:num>
  <w:num w:numId="17">
    <w:abstractNumId w:val="27"/>
  </w:num>
  <w:num w:numId="18">
    <w:abstractNumId w:val="32"/>
  </w:num>
  <w:num w:numId="19">
    <w:abstractNumId w:val="12"/>
  </w:num>
  <w:num w:numId="20">
    <w:abstractNumId w:val="10"/>
  </w:num>
  <w:num w:numId="21">
    <w:abstractNumId w:val="2"/>
  </w:num>
  <w:num w:numId="22">
    <w:abstractNumId w:val="0"/>
  </w:num>
  <w:num w:numId="23">
    <w:abstractNumId w:val="17"/>
  </w:num>
  <w:num w:numId="24">
    <w:abstractNumId w:val="9"/>
  </w:num>
  <w:num w:numId="25">
    <w:abstractNumId w:val="25"/>
  </w:num>
  <w:num w:numId="26">
    <w:abstractNumId w:val="21"/>
  </w:num>
  <w:num w:numId="27">
    <w:abstractNumId w:val="3"/>
  </w:num>
  <w:num w:numId="28">
    <w:abstractNumId w:val="13"/>
  </w:num>
  <w:num w:numId="29">
    <w:abstractNumId w:val="11"/>
  </w:num>
  <w:num w:numId="30">
    <w:abstractNumId w:val="4"/>
  </w:num>
  <w:num w:numId="31">
    <w:abstractNumId w:val="19"/>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22684"/>
    <w:rsid w:val="0084096C"/>
    <w:rsid w:val="00851A71"/>
    <w:rsid w:val="00884708"/>
    <w:rsid w:val="008B4187"/>
    <w:rsid w:val="009107CD"/>
    <w:rsid w:val="00927DB0"/>
    <w:rsid w:val="00954389"/>
    <w:rsid w:val="009678FA"/>
    <w:rsid w:val="00987E05"/>
    <w:rsid w:val="009A3FDE"/>
    <w:rsid w:val="009C2D6F"/>
    <w:rsid w:val="009F1157"/>
    <w:rsid w:val="00A73CB4"/>
    <w:rsid w:val="00AC1CD5"/>
    <w:rsid w:val="00AF22D2"/>
    <w:rsid w:val="00AF4C80"/>
    <w:rsid w:val="00B33BD3"/>
    <w:rsid w:val="00B402B6"/>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22551"/>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E7A6-81BA-D847-A086-52C73B52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2808</Characters>
  <Application>Microsoft Macintosh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2018-05-30T10:45:00Z</cp:lastPrinted>
  <dcterms:created xsi:type="dcterms:W3CDTF">2018-05-30T10:45:00Z</dcterms:created>
  <dcterms:modified xsi:type="dcterms:W3CDTF">2018-05-30T10:46:00Z</dcterms:modified>
</cp:coreProperties>
</file>