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11A8" w14:textId="184312D2" w:rsidR="00201D0E" w:rsidRPr="001D3F68" w:rsidRDefault="00201D0E" w:rsidP="001D3F68">
      <w:pPr>
        <w:rPr>
          <w:rFonts w:ascii="Verdana" w:hAnsi="Verdana"/>
        </w:rPr>
      </w:pPr>
    </w:p>
    <w:p w14:paraId="6D545855" w14:textId="57CDAD4A" w:rsidR="001D3F68" w:rsidRDefault="001D3F68" w:rsidP="001D3F68">
      <w:pPr>
        <w:rPr>
          <w:rFonts w:ascii="Verdana" w:hAnsi="Verdana"/>
          <w:b/>
        </w:rPr>
      </w:pPr>
      <w:r w:rsidRPr="001D3F68">
        <w:rPr>
          <w:rFonts w:ascii="Verdana" w:hAnsi="Verdana"/>
          <w:b/>
        </w:rPr>
        <w:t>I. Después de haber  estudiado las diferentes  cuentas de  pasivos  y activos  identifica   a qué cuenta  corresponden  y  contesta cuál  es su  uso  en  el  siguiente cuadro.</w:t>
      </w:r>
    </w:p>
    <w:p w14:paraId="087DD15E" w14:textId="77777777" w:rsidR="001D3F68" w:rsidRPr="001D3F68" w:rsidRDefault="001D3F68" w:rsidP="001D3F68">
      <w:pPr>
        <w:rPr>
          <w:rFonts w:ascii="Verdana" w:hAnsi="Verdana"/>
          <w:b/>
        </w:rPr>
      </w:pPr>
    </w:p>
    <w:tbl>
      <w:tblPr>
        <w:tblStyle w:val="Sombreadomediano1-nfasis1"/>
        <w:tblW w:w="4949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750"/>
        <w:gridCol w:w="1818"/>
        <w:gridCol w:w="3965"/>
      </w:tblGrid>
      <w:tr w:rsidR="001D3F68" w:rsidRPr="001D3F68" w14:paraId="7052B71A" w14:textId="77777777" w:rsidTr="001D3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85DD20" w14:textId="173A6DF1" w:rsidR="001D3F68" w:rsidRPr="001D3F68" w:rsidRDefault="001D3F68" w:rsidP="001D3F68">
            <w:pPr>
              <w:jc w:val="center"/>
              <w:rPr>
                <w:rFonts w:ascii="Verdana" w:hAnsi="Verdana"/>
              </w:rPr>
            </w:pPr>
            <w:r w:rsidRPr="001D3F68">
              <w:rPr>
                <w:rFonts w:ascii="Verdana" w:hAnsi="Verdana"/>
              </w:rPr>
              <w:t>Indicador</w:t>
            </w:r>
          </w:p>
        </w:tc>
        <w:tc>
          <w:tcPr>
            <w:tcW w:w="8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80EA7E" w14:textId="77777777" w:rsidR="001D3F68" w:rsidRPr="001D3F68" w:rsidRDefault="001D3F68" w:rsidP="001D3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D3F68">
              <w:rPr>
                <w:rFonts w:ascii="Verdana" w:hAnsi="Verdana"/>
              </w:rPr>
              <w:t>Activo /Pasivo</w:t>
            </w:r>
          </w:p>
        </w:tc>
        <w:tc>
          <w:tcPr>
            <w:tcW w:w="1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8B0C3C2" w14:textId="77777777" w:rsidR="001D3F68" w:rsidRPr="001D3F68" w:rsidRDefault="001D3F68" w:rsidP="001D3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D3F68">
              <w:rPr>
                <w:rFonts w:ascii="Verdana" w:hAnsi="Verdana"/>
              </w:rPr>
              <w:t>Concepto</w:t>
            </w:r>
          </w:p>
        </w:tc>
      </w:tr>
      <w:tr w:rsidR="001D3F68" w:rsidRPr="001D3F68" w14:paraId="00F8A393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3047412E" w14:textId="00E0406C" w:rsidR="001D3F68" w:rsidRPr="001D3F68" w:rsidRDefault="001D3F68" w:rsidP="001D3F68">
            <w:pPr>
              <w:tabs>
                <w:tab w:val="left" w:pos="3301"/>
              </w:tabs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Primas de seguros </w:t>
            </w: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ab/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389C485E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5E912300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16B32DB1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5DA7F972" w14:textId="77777777" w:rsidR="001D3F68" w:rsidRPr="001D3F68" w:rsidRDefault="001D3F68" w:rsidP="0071103F">
            <w:pPr>
              <w:jc w:val="both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Documentos por pagar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1019695A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39EB65F5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3828A9DC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72EC8FED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Edificios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785A72E0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40F5FE46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6D70CD05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0B091C04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Caja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778476AE" w14:textId="77777777" w:rsidR="001D3F68" w:rsidRPr="001D3F68" w:rsidRDefault="001D3F68" w:rsidP="0071103F">
            <w:pPr>
              <w:ind w:left="-117" w:firstLine="1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2FC9D804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65C886A2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1B76222B" w14:textId="77777777" w:rsidR="001D3F68" w:rsidRPr="001D3F68" w:rsidRDefault="001D3F68" w:rsidP="0071103F">
            <w:pPr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hAnsi="Verdana" w:cs="Arial"/>
                <w:b w:val="0"/>
                <w:sz w:val="20"/>
                <w:szCs w:val="20"/>
              </w:rPr>
              <w:t>Proveedores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1E098E16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6F9C99E3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718430DA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58E1E7B7" w14:textId="77777777" w:rsidR="001D3F68" w:rsidRPr="001D3F68" w:rsidRDefault="001D3F68" w:rsidP="0071103F">
            <w:pPr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Mobiliario y equipo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6D8342C6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5FA5AA54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5662E843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77532150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Acreedores diversos.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4B31FFA9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5829CB23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3A9C06EA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2B75376B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Mercancías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4ADBDEFC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70063E96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09F6F20E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0EC213C1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Depósitos en </w:t>
            </w:r>
            <w:r w:rsidRPr="001D3F68">
              <w:rPr>
                <w:rFonts w:ascii="Verdana" w:eastAsia="Times New Roman" w:hAnsi="Verdana" w:cs="Arial"/>
                <w:b w:val="0"/>
                <w:color w:val="000000"/>
                <w:sz w:val="20"/>
                <w:szCs w:val="20"/>
              </w:rPr>
              <w:t>garantía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467C974C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34C523B0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32DD3F70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61B0B1C4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color w:val="000000"/>
                <w:sz w:val="20"/>
                <w:szCs w:val="20"/>
              </w:rPr>
              <w:t xml:space="preserve">Equipo de </w:t>
            </w: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cómputo electrónico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52A08C43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7431BAEE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79E01BE1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6CD772A4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Rentas </w:t>
            </w:r>
            <w:r w:rsidRPr="001D3F68">
              <w:rPr>
                <w:rFonts w:ascii="Verdana" w:eastAsia="Times New Roman" w:hAnsi="Verdana" w:cs="Arial"/>
                <w:b w:val="0"/>
                <w:color w:val="000000"/>
                <w:sz w:val="20"/>
                <w:szCs w:val="20"/>
              </w:rPr>
              <w:t xml:space="preserve">cobradas </w:t>
            </w: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por anticipado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2055FE4F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1E09D293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47F78190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259A75B6" w14:textId="77777777" w:rsidR="001D3F68" w:rsidRPr="001D3F68" w:rsidRDefault="001D3F68" w:rsidP="0071103F">
            <w:pPr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Equipo de entrega o de reparto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31A27B0B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41572A1D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3BC3E1E3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7D3241C8" w14:textId="77777777" w:rsidR="001D3F68" w:rsidRPr="001D3F68" w:rsidRDefault="001D3F68" w:rsidP="0071103F">
            <w:pPr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Documentos por cobrar.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0C129902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4084A53D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18803420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64BD9B4D" w14:textId="77777777" w:rsidR="001D3F68" w:rsidRPr="001D3F68" w:rsidRDefault="001D3F68" w:rsidP="0071103F">
            <w:pPr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Bancos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58FBD102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4F8E131E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456AFCCE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095C7B62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intereses cobrados por anticipado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3BF60437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680C92DC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57F02FB3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3471407B" w14:textId="77777777" w:rsidR="001D3F68" w:rsidRPr="001D3F68" w:rsidRDefault="001D3F68" w:rsidP="0071103F">
            <w:pPr>
              <w:rPr>
                <w:rFonts w:ascii="Verdana" w:hAnsi="Verdana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Deudores diversos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77C379C2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212307D5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421F3646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3462BE25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Clientes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4B255C4B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735294B1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61233396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4271EB87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Terrenos.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27657A8D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7B1B4B43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101C6779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1E7EF136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Gastos de </w:t>
            </w:r>
            <w:r w:rsidRPr="001D3F68">
              <w:rPr>
                <w:rFonts w:ascii="Verdana" w:eastAsia="Times New Roman" w:hAnsi="Verdana" w:cs="Arial"/>
                <w:b w:val="0"/>
                <w:color w:val="000000"/>
                <w:sz w:val="20"/>
                <w:szCs w:val="20"/>
              </w:rPr>
              <w:t xml:space="preserve">instalación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06F877CB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05184BB1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6568A3FF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2CBA39D7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Papelería y útiles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7F49BF60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4B3FB0A6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36D9FD85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7A6869B7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Acreedores hipotecarios o hipotecas por pagar.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12AC89E5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0032C5C6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55BE102F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63DFA0D2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Propaganda o publicidad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152987C9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754AE848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79CA4A53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777FC8FE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Rentas pagadas por anticipado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7C4EA404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6FF73572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1CA75945" w14:textId="77777777" w:rsidTr="001D3F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6092525A" w14:textId="77777777" w:rsidR="001D3F68" w:rsidRPr="001D3F68" w:rsidRDefault="001D3F68" w:rsidP="0071103F">
            <w:pPr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>Documentos por pagar a largo plazo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686E3ECE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686C4531" w14:textId="77777777" w:rsidR="001D3F68" w:rsidRPr="001D3F68" w:rsidRDefault="001D3F68" w:rsidP="007110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D3F68" w:rsidRPr="001D3F68" w14:paraId="28EFC407" w14:textId="77777777" w:rsidTr="001D3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pct"/>
            <w:tcBorders>
              <w:right w:val="none" w:sz="0" w:space="0" w:color="auto"/>
            </w:tcBorders>
          </w:tcPr>
          <w:p w14:paraId="5B187831" w14:textId="77777777" w:rsidR="001D3F68" w:rsidRPr="001D3F68" w:rsidRDefault="001D3F68" w:rsidP="0071103F">
            <w:pPr>
              <w:rPr>
                <w:rFonts w:ascii="Verdana" w:hAnsi="Verdana" w:cs="Arial"/>
                <w:b w:val="0"/>
              </w:rPr>
            </w:pPr>
            <w:r w:rsidRPr="001D3F68">
              <w:rPr>
                <w:rFonts w:ascii="Verdana" w:eastAsia="Times New Roman" w:hAnsi="Verdana" w:cs="Arial"/>
                <w:b w:val="0"/>
                <w:sz w:val="20"/>
                <w:szCs w:val="20"/>
              </w:rPr>
              <w:t xml:space="preserve">Intereses pagados por anticipado </w:t>
            </w:r>
          </w:p>
        </w:tc>
        <w:tc>
          <w:tcPr>
            <w:tcW w:w="863" w:type="pct"/>
            <w:tcBorders>
              <w:left w:val="none" w:sz="0" w:space="0" w:color="auto"/>
              <w:right w:val="none" w:sz="0" w:space="0" w:color="auto"/>
            </w:tcBorders>
          </w:tcPr>
          <w:p w14:paraId="54C7DE9E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882" w:type="pct"/>
            <w:tcBorders>
              <w:left w:val="none" w:sz="0" w:space="0" w:color="auto"/>
            </w:tcBorders>
          </w:tcPr>
          <w:p w14:paraId="12B4460B" w14:textId="77777777" w:rsidR="001D3F68" w:rsidRPr="001D3F68" w:rsidRDefault="001D3F68" w:rsidP="00711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11400495" w14:textId="77777777" w:rsidR="001D3F68" w:rsidRDefault="001D3F68" w:rsidP="001D3F68">
      <w:pPr>
        <w:rPr>
          <w:rFonts w:ascii="Verdana" w:hAnsi="Verdana"/>
        </w:rPr>
      </w:pPr>
    </w:p>
    <w:p w14:paraId="01106737" w14:textId="77777777" w:rsidR="001D3F68" w:rsidRPr="001D3F68" w:rsidRDefault="001D3F68" w:rsidP="001D3F68">
      <w:pPr>
        <w:rPr>
          <w:rFonts w:ascii="Verdana" w:hAnsi="Verdana"/>
        </w:rPr>
      </w:pPr>
    </w:p>
    <w:p w14:paraId="5FFC78E8" w14:textId="77777777" w:rsidR="001D3F68" w:rsidRPr="001D3F68" w:rsidRDefault="001D3F68" w:rsidP="001D3F68">
      <w:pPr>
        <w:rPr>
          <w:rFonts w:ascii="Verdana" w:hAnsi="Verdana"/>
          <w:b/>
        </w:rPr>
      </w:pPr>
      <w:r w:rsidRPr="001D3F68">
        <w:rPr>
          <w:rFonts w:ascii="Verdana" w:hAnsi="Verdana"/>
          <w:b/>
        </w:rPr>
        <w:t>II.  Contesta F para falso o V para verdadero según  sea  la respuesta correcta.</w:t>
      </w:r>
    </w:p>
    <w:p w14:paraId="73B73FA2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rPr>
          <w:rFonts w:ascii="Verdana" w:hAnsi="Verdana"/>
        </w:rPr>
      </w:pPr>
      <w:r w:rsidRPr="001D3F68">
        <w:rPr>
          <w:rFonts w:ascii="Verdana" w:hAnsi="Verdana"/>
        </w:rPr>
        <w:t>(  ) Depósito en garantía es una cuenta de capital</w:t>
      </w:r>
    </w:p>
    <w:p w14:paraId="58112482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rPr>
          <w:rFonts w:ascii="Verdana" w:hAnsi="Verdana"/>
        </w:rPr>
      </w:pPr>
      <w:r w:rsidRPr="001D3F68">
        <w:rPr>
          <w:rFonts w:ascii="Verdana" w:hAnsi="Verdana"/>
        </w:rPr>
        <w:t>(  ) Acciones, bonos y valores es cuenta de capital</w:t>
      </w:r>
    </w:p>
    <w:p w14:paraId="24B27668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rPr>
          <w:rFonts w:ascii="Verdana" w:hAnsi="Verdana"/>
        </w:rPr>
      </w:pPr>
      <w:r w:rsidRPr="001D3F68">
        <w:rPr>
          <w:rFonts w:ascii="Verdana" w:hAnsi="Verdana"/>
        </w:rPr>
        <w:t>(  ) Ventas se usa como cuenta de capital</w:t>
      </w:r>
    </w:p>
    <w:p w14:paraId="6D752BD3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Verdana" w:hAnsi="Verdana"/>
        </w:rPr>
      </w:pPr>
      <w:r w:rsidRPr="001D3F68">
        <w:rPr>
          <w:rFonts w:ascii="Verdana" w:hAnsi="Verdana"/>
        </w:rPr>
        <w:t>(  ) Pérdidas y ganancias es una cuenta de pasivo</w:t>
      </w:r>
    </w:p>
    <w:p w14:paraId="431F38C2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rPr>
          <w:rFonts w:ascii="Verdana" w:hAnsi="Verdana"/>
        </w:rPr>
      </w:pPr>
      <w:r w:rsidRPr="001D3F68">
        <w:rPr>
          <w:rFonts w:ascii="Verdana" w:hAnsi="Verdana"/>
        </w:rPr>
        <w:t>(  ) Impuestos sobre la renta es una cuenta de activo</w:t>
      </w:r>
    </w:p>
    <w:p w14:paraId="1FD1551A" w14:textId="77777777" w:rsidR="001D3F68" w:rsidRPr="001D3F68" w:rsidRDefault="001D3F68" w:rsidP="001D3F68">
      <w:pPr>
        <w:pStyle w:val="Prrafodelista"/>
        <w:numPr>
          <w:ilvl w:val="0"/>
          <w:numId w:val="35"/>
        </w:numPr>
        <w:spacing w:line="276" w:lineRule="auto"/>
        <w:rPr>
          <w:rFonts w:ascii="Verdana" w:hAnsi="Verdana"/>
        </w:rPr>
      </w:pPr>
      <w:r w:rsidRPr="001D3F68">
        <w:rPr>
          <w:rFonts w:ascii="Verdana" w:hAnsi="Verdana"/>
        </w:rPr>
        <w:t>(  ) Gasto de ventas es una cuenta de Capital</w:t>
      </w:r>
    </w:p>
    <w:p w14:paraId="3CBA8C21" w14:textId="77777777" w:rsidR="001D3F68" w:rsidRPr="001D3F68" w:rsidRDefault="001D3F68" w:rsidP="001D3F68">
      <w:pPr>
        <w:rPr>
          <w:rFonts w:ascii="Verdana" w:hAnsi="Verdana"/>
        </w:rPr>
      </w:pPr>
    </w:p>
    <w:p w14:paraId="5B9EA4FB" w14:textId="77777777" w:rsidR="001D3F68" w:rsidRPr="001D3F68" w:rsidRDefault="001D3F68" w:rsidP="001D3F68">
      <w:pPr>
        <w:rPr>
          <w:rFonts w:ascii="Verdana" w:hAnsi="Verdana"/>
          <w:b/>
        </w:rPr>
      </w:pPr>
      <w:r w:rsidRPr="001D3F68">
        <w:rPr>
          <w:rFonts w:ascii="Verdana" w:hAnsi="Verdana"/>
          <w:b/>
        </w:rPr>
        <w:t>III. Coloca una X en  las cuentas de Resultados</w:t>
      </w:r>
    </w:p>
    <w:p w14:paraId="702C0699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Ventas netas</w:t>
      </w:r>
    </w:p>
    <w:p w14:paraId="64061E7B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Costo de ventas</w:t>
      </w:r>
    </w:p>
    <w:p w14:paraId="59CC3B1C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Impuestos sobre la renta</w:t>
      </w:r>
    </w:p>
    <w:p w14:paraId="0B0486A1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Gastos financieros</w:t>
      </w:r>
    </w:p>
    <w:p w14:paraId="47AD7FB7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Impuesto sobre beneficios</w:t>
      </w:r>
    </w:p>
    <w:p w14:paraId="66097648" w14:textId="77777777" w:rsidR="001D3F68" w:rsidRPr="001D3F68" w:rsidRDefault="001D3F68" w:rsidP="001D3F68">
      <w:pPr>
        <w:pStyle w:val="Prrafodelista"/>
        <w:numPr>
          <w:ilvl w:val="0"/>
          <w:numId w:val="36"/>
        </w:numPr>
        <w:rPr>
          <w:rFonts w:ascii="Verdana" w:hAnsi="Verdana"/>
        </w:rPr>
      </w:pPr>
      <w:r w:rsidRPr="001D3F68">
        <w:rPr>
          <w:rFonts w:ascii="Verdana" w:hAnsi="Verdana"/>
        </w:rPr>
        <w:t>(    ) Resultado neto</w:t>
      </w:r>
    </w:p>
    <w:p w14:paraId="140B8A17" w14:textId="77777777" w:rsidR="001D3F68" w:rsidRPr="001D3F68" w:rsidRDefault="001D3F68" w:rsidP="001D3F68">
      <w:pPr>
        <w:rPr>
          <w:rFonts w:ascii="Verdana" w:hAnsi="Verdana"/>
        </w:rPr>
      </w:pPr>
    </w:p>
    <w:p w14:paraId="19BD5758" w14:textId="77777777" w:rsid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</w:p>
    <w:p w14:paraId="061DA8E6" w14:textId="77777777" w:rsid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</w:p>
    <w:p w14:paraId="3AE53D85" w14:textId="77777777" w:rsid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</w:p>
    <w:p w14:paraId="0775F97A" w14:textId="77777777" w:rsid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  <w:bookmarkStart w:id="0" w:name="_GoBack"/>
      <w:bookmarkEnd w:id="0"/>
    </w:p>
    <w:p w14:paraId="53F06ED9" w14:textId="77777777" w:rsid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</w:p>
    <w:p w14:paraId="49D95725" w14:textId="77777777" w:rsidR="001D3F68" w:rsidRPr="001D3F68" w:rsidRDefault="001D3F68" w:rsidP="001D3F68">
      <w:pPr>
        <w:rPr>
          <w:rFonts w:ascii="Verdana" w:eastAsia="Times New Roman" w:hAnsi="Verdana" w:cs="Calibri"/>
          <w:i/>
          <w:iCs/>
          <w:color w:val="000000"/>
        </w:rPr>
      </w:pPr>
    </w:p>
    <w:p w14:paraId="2BB14458" w14:textId="77777777" w:rsidR="00907C4B" w:rsidRPr="003C133E" w:rsidRDefault="00907C4B" w:rsidP="00907C4B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4A97AEF9" w14:textId="77777777" w:rsidR="00907C4B" w:rsidRPr="003C133E" w:rsidRDefault="00907C4B" w:rsidP="00907C4B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4A3D47B2" w14:textId="3A9F2B73" w:rsidR="001D3F68" w:rsidRPr="001D3F68" w:rsidRDefault="00907C4B" w:rsidP="00907C4B">
      <w:pPr>
        <w:jc w:val="right"/>
        <w:rPr>
          <w:rFonts w:ascii="Verdana" w:hAnsi="Verdana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>
        <w:rPr>
          <w:rFonts w:ascii="Verdana" w:hAnsi="Verdana"/>
          <w:b/>
          <w:sz w:val="24"/>
          <w:szCs w:val="24"/>
        </w:rPr>
        <w:t>Cuentas</w:t>
      </w:r>
    </w:p>
    <w:sectPr w:rsidR="001D3F68" w:rsidRPr="001D3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2DF4A9" w:rsidR="00EC00F2" w:rsidRPr="00907C4B" w:rsidRDefault="001D3F68" w:rsidP="00907C4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907C4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907C4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907C4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Cuentas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2DF4A9" w:rsidR="00EC00F2" w:rsidRPr="00907C4B" w:rsidRDefault="001D3F68" w:rsidP="00907C4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907C4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C00F2" w:rsidRPr="00907C4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Pr="00907C4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Cuentas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1"/>
  </w:num>
  <w:num w:numId="11">
    <w:abstractNumId w:val="26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3"/>
  </w:num>
  <w:num w:numId="34">
    <w:abstractNumId w:val="10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07C4B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B737C-E79A-7841-BB5C-9277B4B8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2014-05-15T14:45:00Z</dcterms:created>
  <dcterms:modified xsi:type="dcterms:W3CDTF">2014-09-26T15:00:00Z</dcterms:modified>
</cp:coreProperties>
</file>