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73099" w14:textId="75C8BC74" w:rsidR="000E3AF1" w:rsidRDefault="000E3AF1" w:rsidP="007852CE">
      <w:pPr>
        <w:jc w:val="both"/>
        <w:rPr>
          <w:rFonts w:ascii="Dispatch-Black" w:hAnsi="Dispatch-Black" w:cstheme="minorHAnsi"/>
          <w:color w:val="3366FF"/>
          <w:sz w:val="28"/>
          <w:szCs w:val="28"/>
        </w:rPr>
      </w:pPr>
    </w:p>
    <w:p w14:paraId="0BC23D07" w14:textId="77777777" w:rsidR="000054F7" w:rsidRPr="000054F7" w:rsidRDefault="000054F7" w:rsidP="000054F7">
      <w:pPr>
        <w:jc w:val="both"/>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 xml:space="preserve">Stock (Inventario) de seguridad es un término utilizado en logística para describir el nivel extra de inventario que se mantiene en almacén para hacer frente a eventuales rupturas en la cadena de suministro. </w:t>
      </w:r>
    </w:p>
    <w:p w14:paraId="703EAF50" w14:textId="2D43885F" w:rsidR="000054F7" w:rsidRPr="000054F7" w:rsidRDefault="000054F7" w:rsidP="000054F7">
      <w:pPr>
        <w:jc w:val="both"/>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(https://es.wikipedia.org/wiki/Stock_de_seguridad).</w:t>
      </w:r>
    </w:p>
    <w:p w14:paraId="1F1B355F" w14:textId="528CC371" w:rsidR="000054F7" w:rsidRPr="000054F7" w:rsidRDefault="000054F7" w:rsidP="000054F7">
      <w:pPr>
        <w:jc w:val="both"/>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No existe una manera de encontrar el punto de reorden óptimo cuando no se conocen los costos de faltantes. En su lugar se usan los conceptos de inventario de seguridad y nivel de servicio para hacer un juicio sobre un riesgo de faltantes aceptable. También se toma en cuenta el hecho de que la posibilidad de quedar sin artículos en almacén existe solo durante el tiempo de entrega. Cuando el nivel de inventario está arriba del punto de reorden, como antes de colocar el pedido, no hay posibilidad de quedar sin existencias. Cuando el nivel baja al punto de reorden, se coloca un pedido y comienza el periodo de entrega. Solamente durante estos periodos existen posibilidades de faltantes. Entonces, para determinar el punto de reorden solo es necesario conocer la distribución de la demanda durante el periodo de entrega. Esto se llama demanda del tiempo de entrega. Si el punto de reorden se iguala a la demanda diaria del tiempo de entrega, el inventario que se tiene en el momento de recibir una</w:t>
      </w:r>
      <w:r>
        <w:rPr>
          <w:rFonts w:ascii="Sansa-Normal" w:eastAsia="Times New Roman" w:hAnsi="Sansa-Normal" w:cstheme="minorHAnsi"/>
          <w:iCs/>
          <w:sz w:val="24"/>
          <w:szCs w:val="24"/>
        </w:rPr>
        <w:t xml:space="preserve"> orden será cero, en promedio. </w:t>
      </w:r>
    </w:p>
    <w:p w14:paraId="01F30013" w14:textId="7D32A355" w:rsidR="000054F7" w:rsidRPr="000054F7" w:rsidRDefault="000054F7" w:rsidP="000054F7">
      <w:pPr>
        <w:jc w:val="both"/>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Pero la mitad de las veces será más que cero y la mitad de las veces será menos que cero; es decir, habrá faltantes. Como casi siempre, una posibilidad del 50% de quedar sin existencias es muy alto, se debe agregar un inventario de seguridad. El punto de reorden se incrementa para proporcionar mayor protección contra los faltantes durante el periodo de entrega. La fórmula para el punto de reorden se convierte en:</w:t>
      </w:r>
    </w:p>
    <w:p w14:paraId="2FCC9A76" w14:textId="1AB0F98E" w:rsidR="000054F7" w:rsidRPr="000054F7" w:rsidRDefault="000054F7" w:rsidP="000054F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R = DdL + B </w:t>
      </w:r>
    </w:p>
    <w:p w14:paraId="78842666" w14:textId="126271DD" w:rsidR="000054F7" w:rsidRPr="000054F7" w:rsidRDefault="000054F7" w:rsidP="000054F7">
      <w:pPr>
        <w:jc w:val="both"/>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en donde:</w:t>
      </w:r>
    </w:p>
    <w:p w14:paraId="00C20282" w14:textId="77777777" w:rsidR="000054F7" w:rsidRPr="000054F7" w:rsidRDefault="000054F7" w:rsidP="000054F7">
      <w:pPr>
        <w:jc w:val="both"/>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 xml:space="preserve">R =  punto de reorden </w:t>
      </w:r>
    </w:p>
    <w:p w14:paraId="2DE6D49F" w14:textId="77777777" w:rsidR="000054F7" w:rsidRPr="000054F7" w:rsidRDefault="000054F7" w:rsidP="000054F7">
      <w:pPr>
        <w:jc w:val="both"/>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Dd = demanda diaria promedio en unidades</w:t>
      </w:r>
    </w:p>
    <w:p w14:paraId="0B77B5BA" w14:textId="77777777" w:rsidR="000054F7" w:rsidRPr="000054F7" w:rsidRDefault="000054F7" w:rsidP="000054F7">
      <w:pPr>
        <w:jc w:val="both"/>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L = tiempo de entrega promedio en días</w:t>
      </w:r>
    </w:p>
    <w:p w14:paraId="0A835702" w14:textId="77777777" w:rsidR="000054F7" w:rsidRPr="000054F7" w:rsidRDefault="000054F7" w:rsidP="000054F7">
      <w:pPr>
        <w:jc w:val="both"/>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B = inventario de seguridad en unidades</w:t>
      </w:r>
    </w:p>
    <w:p w14:paraId="00CFBCFB" w14:textId="77777777" w:rsidR="000054F7" w:rsidRPr="000054F7" w:rsidRDefault="000054F7" w:rsidP="000054F7">
      <w:pPr>
        <w:jc w:val="both"/>
        <w:rPr>
          <w:rFonts w:ascii="Sansa-Normal" w:eastAsia="Times New Roman" w:hAnsi="Sansa-Normal" w:cstheme="minorHAnsi"/>
          <w:iCs/>
          <w:sz w:val="24"/>
          <w:szCs w:val="24"/>
        </w:rPr>
      </w:pPr>
    </w:p>
    <w:p w14:paraId="39B24B61" w14:textId="346446D0" w:rsidR="000054F7" w:rsidRPr="000054F7" w:rsidRDefault="000054F7" w:rsidP="000054F7">
      <w:pPr>
        <w:jc w:val="both"/>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lastRenderedPageBreak/>
        <w:t>La cantidad de inventario de seguridad está basada en la decisión administrativa sobre el nivel de servicio. El nivel de servicio es la probabilidad de tener un artículo en almacén entregado por el proveedor para cuando se necesite. La administración debe hacer un juicio intuitivo de cuál debe ser esta probabilidad; no puede derivarse matemáticamente. Los niveles de servicio en general varían del 80 al 99%. Esto significa que la posibilidad de quedar sin artículos en el almacén varía entre un 20 y un 1 % (Gallagh</w:t>
      </w:r>
      <w:r>
        <w:rPr>
          <w:rFonts w:ascii="Sansa-Normal" w:eastAsia="Times New Roman" w:hAnsi="Sansa-Normal" w:cstheme="minorHAnsi"/>
          <w:iCs/>
          <w:sz w:val="24"/>
          <w:szCs w:val="24"/>
        </w:rPr>
        <w:t>er &amp; Watson, 1982, fragmentos).</w:t>
      </w:r>
    </w:p>
    <w:p w14:paraId="6589E809" w14:textId="05FD70C8" w:rsidR="000054F7" w:rsidRPr="000054F7" w:rsidRDefault="000054F7" w:rsidP="000054F7">
      <w:pPr>
        <w:jc w:val="both"/>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Para poder calcular un adecuado inventario de seguridad, es necesario determinar cuánto es que le cuesta a la organización no contar con un inventario de seguridad. Si el costo de no tener inventario de seguridad es cero, no es necesario contar con uno. En caso de que exista un costo por pedidos extraordinarios durante el tiempo de entrega, habrá que analizar si el costo de estos pedidos – según las probabilidades de ocurrencia de que el tiempo de entrega del proveedor se extienda – supera al costo de mantener un inventario de seguridad que pueda cubrir la demanda de inventario durante el período de entrega. Este inventario de seguridad no debe aumentar cada ciclo; es decir, si mi inventario de seguridad es de 20 piezas, y solamente utilicé 2 piezas del inventario de seguridad durante el tiempo de entrega del ciclo, me quedarán 18 piezas en el inventario de seguridad; en ese caso, deberán reabastecerse solamente 2 piezas al inventario de seguridad para mantenerlo en las 20 en las que debe mantenerse, no ordenaré otras 20 piezas para el siguiente ciclo, sino solamente las que sean necesarias para mantener en 20 piezas mi inventario de seguridad.</w:t>
      </w:r>
    </w:p>
    <w:p w14:paraId="7697812D" w14:textId="77777777" w:rsidR="000054F7" w:rsidRPr="000054F7" w:rsidRDefault="000054F7" w:rsidP="000054F7">
      <w:pPr>
        <w:jc w:val="both"/>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Para poder calcular el costo de las órdenes extraordinarias que tengo que hacer al no mantener un inventario de seguridad, primero se debe hacer un análisis de las frecuencias relativas con que llega temprano o tarde una orden de inventario. Ejemplo:</w:t>
      </w:r>
    </w:p>
    <w:p w14:paraId="74BEFD83" w14:textId="77777777" w:rsidR="000054F7" w:rsidRDefault="000054F7" w:rsidP="000054F7">
      <w:pPr>
        <w:jc w:val="both"/>
        <w:rPr>
          <w:rFonts w:ascii="Sansa-Normal" w:eastAsia="Times New Roman" w:hAnsi="Sansa-Normal" w:cstheme="minorHAnsi"/>
          <w:iCs/>
          <w:sz w:val="24"/>
          <w:szCs w:val="24"/>
        </w:rPr>
      </w:pPr>
    </w:p>
    <w:p w14:paraId="06782E23" w14:textId="77777777" w:rsidR="000054F7" w:rsidRDefault="000054F7" w:rsidP="000054F7">
      <w:pPr>
        <w:jc w:val="both"/>
        <w:rPr>
          <w:rFonts w:ascii="Sansa-Normal" w:eastAsia="Times New Roman" w:hAnsi="Sansa-Normal" w:cstheme="minorHAnsi"/>
          <w:iCs/>
          <w:sz w:val="24"/>
          <w:szCs w:val="24"/>
        </w:rPr>
      </w:pPr>
    </w:p>
    <w:p w14:paraId="4B8EB048" w14:textId="77777777" w:rsidR="000054F7" w:rsidRDefault="000054F7" w:rsidP="000054F7">
      <w:pPr>
        <w:jc w:val="both"/>
        <w:rPr>
          <w:rFonts w:ascii="Sansa-Normal" w:eastAsia="Times New Roman" w:hAnsi="Sansa-Normal" w:cstheme="minorHAnsi"/>
          <w:iCs/>
          <w:sz w:val="24"/>
          <w:szCs w:val="24"/>
        </w:rPr>
      </w:pPr>
    </w:p>
    <w:p w14:paraId="3C0DA382" w14:textId="77777777" w:rsidR="000054F7" w:rsidRDefault="000054F7" w:rsidP="000054F7">
      <w:pPr>
        <w:jc w:val="both"/>
        <w:rPr>
          <w:rFonts w:ascii="Sansa-Normal" w:eastAsia="Times New Roman" w:hAnsi="Sansa-Normal" w:cstheme="minorHAnsi"/>
          <w:iCs/>
          <w:sz w:val="24"/>
          <w:szCs w:val="24"/>
        </w:rPr>
      </w:pPr>
    </w:p>
    <w:p w14:paraId="72467489" w14:textId="77777777" w:rsidR="000054F7" w:rsidRDefault="000054F7" w:rsidP="000054F7">
      <w:pPr>
        <w:jc w:val="both"/>
        <w:rPr>
          <w:rFonts w:ascii="Sansa-Normal" w:eastAsia="Times New Roman" w:hAnsi="Sansa-Normal" w:cstheme="minorHAnsi"/>
          <w:iCs/>
          <w:sz w:val="24"/>
          <w:szCs w:val="24"/>
        </w:rPr>
      </w:pPr>
    </w:p>
    <w:p w14:paraId="13F1A275" w14:textId="77777777" w:rsidR="000054F7" w:rsidRDefault="000054F7" w:rsidP="000054F7">
      <w:pPr>
        <w:jc w:val="both"/>
        <w:rPr>
          <w:rFonts w:ascii="Sansa-Normal" w:eastAsia="Times New Roman" w:hAnsi="Sansa-Normal" w:cstheme="minorHAnsi"/>
          <w:iCs/>
          <w:sz w:val="24"/>
          <w:szCs w:val="24"/>
        </w:rPr>
      </w:pPr>
    </w:p>
    <w:p w14:paraId="37F2318E" w14:textId="77777777" w:rsidR="000054F7" w:rsidRDefault="000054F7" w:rsidP="000054F7">
      <w:pPr>
        <w:jc w:val="both"/>
        <w:rPr>
          <w:rFonts w:ascii="Sansa-Normal" w:eastAsia="Times New Roman" w:hAnsi="Sansa-Normal" w:cstheme="minorHAnsi"/>
          <w:iCs/>
          <w:sz w:val="24"/>
          <w:szCs w:val="24"/>
        </w:rPr>
      </w:pPr>
    </w:p>
    <w:p w14:paraId="6163E043" w14:textId="77777777" w:rsidR="000054F7" w:rsidRDefault="000054F7" w:rsidP="000054F7">
      <w:pPr>
        <w:jc w:val="both"/>
        <w:rPr>
          <w:rFonts w:ascii="Sansa-Normal" w:eastAsia="Times New Roman" w:hAnsi="Sansa-Normal" w:cstheme="minorHAnsi"/>
          <w:iCs/>
          <w:sz w:val="24"/>
          <w:szCs w:val="24"/>
        </w:rPr>
      </w:pPr>
    </w:p>
    <w:tbl>
      <w:tblPr>
        <w:tblStyle w:val="Listaclara-nfasis1"/>
        <w:tblW w:w="0" w:type="auto"/>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133"/>
        <w:gridCol w:w="1330"/>
      </w:tblGrid>
      <w:tr w:rsidR="000054F7" w:rsidRPr="00EF40BA" w14:paraId="05413900" w14:textId="77777777" w:rsidTr="000054F7">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1799" w:type="dxa"/>
            <w:vMerge w:val="restart"/>
            <w:hideMark/>
          </w:tcPr>
          <w:p w14:paraId="0AEB7099" w14:textId="77777777" w:rsidR="000054F7" w:rsidRPr="00EF40BA" w:rsidRDefault="000054F7" w:rsidP="00A25ECD">
            <w:pPr>
              <w:jc w:val="center"/>
            </w:pPr>
            <w:r w:rsidRPr="00EF40BA">
              <w:t>P</w:t>
            </w:r>
            <w:r>
              <w:t>ie</w:t>
            </w:r>
            <w:r w:rsidRPr="00EF40BA">
              <w:t>zas en almacén al resurtir</w:t>
            </w:r>
          </w:p>
        </w:tc>
        <w:tc>
          <w:tcPr>
            <w:tcW w:w="1133" w:type="dxa"/>
            <w:vMerge w:val="restart"/>
            <w:hideMark/>
          </w:tcPr>
          <w:p w14:paraId="054B564F" w14:textId="77777777" w:rsidR="000054F7" w:rsidRPr="00EF40BA" w:rsidRDefault="000054F7" w:rsidP="00A25ECD">
            <w:pPr>
              <w:jc w:val="center"/>
              <w:cnfStyle w:val="100000000000" w:firstRow="1" w:lastRow="0" w:firstColumn="0" w:lastColumn="0" w:oddVBand="0" w:evenVBand="0" w:oddHBand="0" w:evenHBand="0" w:firstRowFirstColumn="0" w:firstRowLastColumn="0" w:lastRowFirstColumn="0" w:lastRowLastColumn="0"/>
            </w:pPr>
            <w:r w:rsidRPr="00EF40BA">
              <w:t>Veces que llegó el pedido</w:t>
            </w:r>
          </w:p>
        </w:tc>
        <w:tc>
          <w:tcPr>
            <w:tcW w:w="1330" w:type="dxa"/>
            <w:vMerge w:val="restart"/>
            <w:hideMark/>
          </w:tcPr>
          <w:p w14:paraId="363AB512" w14:textId="77777777" w:rsidR="000054F7" w:rsidRPr="00EF40BA" w:rsidRDefault="000054F7" w:rsidP="00A25ECD">
            <w:pPr>
              <w:jc w:val="center"/>
              <w:cnfStyle w:val="100000000000" w:firstRow="1" w:lastRow="0" w:firstColumn="0" w:lastColumn="0" w:oddVBand="0" w:evenVBand="0" w:oddHBand="0" w:evenHBand="0" w:firstRowFirstColumn="0" w:firstRowLastColumn="0" w:lastRowFirstColumn="0" w:lastRowLastColumn="0"/>
            </w:pPr>
            <w:r w:rsidRPr="00EF40BA">
              <w:t>Frecuencia relativa</w:t>
            </w:r>
          </w:p>
        </w:tc>
      </w:tr>
      <w:tr w:rsidR="000054F7" w:rsidRPr="00EF40BA" w14:paraId="1A81AD86" w14:textId="77777777" w:rsidTr="000054F7">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1799" w:type="dxa"/>
            <w:vMerge/>
            <w:tcBorders>
              <w:top w:val="none" w:sz="0" w:space="0" w:color="auto"/>
              <w:left w:val="none" w:sz="0" w:space="0" w:color="auto"/>
              <w:bottom w:val="none" w:sz="0" w:space="0" w:color="auto"/>
            </w:tcBorders>
            <w:hideMark/>
          </w:tcPr>
          <w:p w14:paraId="32347717" w14:textId="77777777" w:rsidR="000054F7" w:rsidRPr="00EF40BA" w:rsidRDefault="000054F7" w:rsidP="00A25ECD">
            <w:pPr>
              <w:jc w:val="center"/>
            </w:pPr>
          </w:p>
        </w:tc>
        <w:tc>
          <w:tcPr>
            <w:tcW w:w="1133" w:type="dxa"/>
            <w:vMerge/>
            <w:tcBorders>
              <w:top w:val="none" w:sz="0" w:space="0" w:color="auto"/>
              <w:bottom w:val="none" w:sz="0" w:space="0" w:color="auto"/>
            </w:tcBorders>
            <w:hideMark/>
          </w:tcPr>
          <w:p w14:paraId="21C968C7" w14:textId="77777777" w:rsidR="000054F7" w:rsidRPr="00EF40BA" w:rsidRDefault="000054F7" w:rsidP="00A25ECD">
            <w:pPr>
              <w:jc w:val="center"/>
              <w:cnfStyle w:val="000000100000" w:firstRow="0" w:lastRow="0" w:firstColumn="0" w:lastColumn="0" w:oddVBand="0" w:evenVBand="0" w:oddHBand="1" w:evenHBand="0" w:firstRowFirstColumn="0" w:firstRowLastColumn="0" w:lastRowFirstColumn="0" w:lastRowLastColumn="0"/>
            </w:pPr>
          </w:p>
        </w:tc>
        <w:tc>
          <w:tcPr>
            <w:tcW w:w="1330" w:type="dxa"/>
            <w:vMerge/>
            <w:tcBorders>
              <w:top w:val="none" w:sz="0" w:space="0" w:color="auto"/>
              <w:bottom w:val="none" w:sz="0" w:space="0" w:color="auto"/>
              <w:right w:val="none" w:sz="0" w:space="0" w:color="auto"/>
            </w:tcBorders>
            <w:hideMark/>
          </w:tcPr>
          <w:p w14:paraId="46C54F58" w14:textId="77777777" w:rsidR="000054F7" w:rsidRPr="00EF40BA" w:rsidRDefault="000054F7" w:rsidP="00A25ECD">
            <w:pPr>
              <w:jc w:val="center"/>
              <w:cnfStyle w:val="000000100000" w:firstRow="0" w:lastRow="0" w:firstColumn="0" w:lastColumn="0" w:oddVBand="0" w:evenVBand="0" w:oddHBand="1" w:evenHBand="0" w:firstRowFirstColumn="0" w:firstRowLastColumn="0" w:lastRowFirstColumn="0" w:lastRowLastColumn="0"/>
            </w:pPr>
          </w:p>
        </w:tc>
      </w:tr>
      <w:tr w:rsidR="000054F7" w:rsidRPr="00EF40BA" w14:paraId="186DFD5E" w14:textId="77777777" w:rsidTr="000054F7">
        <w:trPr>
          <w:trHeight w:val="300"/>
          <w:jc w:val="center"/>
        </w:trPr>
        <w:tc>
          <w:tcPr>
            <w:cnfStyle w:val="001000000000" w:firstRow="0" w:lastRow="0" w:firstColumn="1" w:lastColumn="0" w:oddVBand="0" w:evenVBand="0" w:oddHBand="0" w:evenHBand="0" w:firstRowFirstColumn="0" w:firstRowLastColumn="0" w:lastRowFirstColumn="0" w:lastRowLastColumn="0"/>
            <w:tcW w:w="1799" w:type="dxa"/>
            <w:noWrap/>
            <w:hideMark/>
          </w:tcPr>
          <w:p w14:paraId="7BEABD40" w14:textId="77777777" w:rsidR="000054F7" w:rsidRPr="00EF40BA" w:rsidRDefault="000054F7" w:rsidP="00A25ECD">
            <w:pPr>
              <w:jc w:val="center"/>
            </w:pPr>
            <w:r w:rsidRPr="00EF40BA">
              <w:t>40</w:t>
            </w:r>
          </w:p>
        </w:tc>
        <w:tc>
          <w:tcPr>
            <w:tcW w:w="1133" w:type="dxa"/>
            <w:noWrap/>
            <w:hideMark/>
          </w:tcPr>
          <w:p w14:paraId="776B3CB4" w14:textId="77777777" w:rsidR="000054F7" w:rsidRPr="00EF40BA" w:rsidRDefault="000054F7" w:rsidP="00A25ECD">
            <w:pPr>
              <w:jc w:val="center"/>
              <w:cnfStyle w:val="000000000000" w:firstRow="0" w:lastRow="0" w:firstColumn="0" w:lastColumn="0" w:oddVBand="0" w:evenVBand="0" w:oddHBand="0" w:evenHBand="0" w:firstRowFirstColumn="0" w:firstRowLastColumn="0" w:lastRowFirstColumn="0" w:lastRowLastColumn="0"/>
            </w:pPr>
            <w:r w:rsidRPr="00EF40BA">
              <w:t>1</w:t>
            </w:r>
          </w:p>
        </w:tc>
        <w:tc>
          <w:tcPr>
            <w:tcW w:w="1330" w:type="dxa"/>
            <w:noWrap/>
            <w:hideMark/>
          </w:tcPr>
          <w:p w14:paraId="6804BA5A" w14:textId="77777777" w:rsidR="000054F7" w:rsidRPr="00EF40BA" w:rsidRDefault="000054F7" w:rsidP="00A25ECD">
            <w:pPr>
              <w:jc w:val="center"/>
              <w:cnfStyle w:val="000000000000" w:firstRow="0" w:lastRow="0" w:firstColumn="0" w:lastColumn="0" w:oddVBand="0" w:evenVBand="0" w:oddHBand="0" w:evenHBand="0" w:firstRowFirstColumn="0" w:firstRowLastColumn="0" w:lastRowFirstColumn="0" w:lastRowLastColumn="0"/>
            </w:pPr>
            <w:r w:rsidRPr="00EF40BA">
              <w:t>1%</w:t>
            </w:r>
          </w:p>
        </w:tc>
      </w:tr>
      <w:tr w:rsidR="000054F7" w:rsidRPr="00EF40BA" w14:paraId="2AE82621" w14:textId="77777777" w:rsidTr="000054F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9" w:type="dxa"/>
            <w:tcBorders>
              <w:top w:val="none" w:sz="0" w:space="0" w:color="auto"/>
              <w:left w:val="none" w:sz="0" w:space="0" w:color="auto"/>
              <w:bottom w:val="none" w:sz="0" w:space="0" w:color="auto"/>
            </w:tcBorders>
            <w:noWrap/>
            <w:hideMark/>
          </w:tcPr>
          <w:p w14:paraId="4E9DBD7D" w14:textId="77777777" w:rsidR="000054F7" w:rsidRPr="00EF40BA" w:rsidRDefault="000054F7" w:rsidP="00A25ECD">
            <w:pPr>
              <w:jc w:val="center"/>
            </w:pPr>
            <w:r w:rsidRPr="00EF40BA">
              <w:t>30</w:t>
            </w:r>
          </w:p>
        </w:tc>
        <w:tc>
          <w:tcPr>
            <w:tcW w:w="1133" w:type="dxa"/>
            <w:tcBorders>
              <w:top w:val="none" w:sz="0" w:space="0" w:color="auto"/>
              <w:bottom w:val="none" w:sz="0" w:space="0" w:color="auto"/>
            </w:tcBorders>
            <w:noWrap/>
            <w:hideMark/>
          </w:tcPr>
          <w:p w14:paraId="147B430C" w14:textId="77777777" w:rsidR="000054F7" w:rsidRPr="00EF40BA" w:rsidRDefault="000054F7" w:rsidP="00A25ECD">
            <w:pPr>
              <w:jc w:val="center"/>
              <w:cnfStyle w:val="000000100000" w:firstRow="0" w:lastRow="0" w:firstColumn="0" w:lastColumn="0" w:oddVBand="0" w:evenVBand="0" w:oddHBand="1" w:evenHBand="0" w:firstRowFirstColumn="0" w:firstRowLastColumn="0" w:lastRowFirstColumn="0" w:lastRowLastColumn="0"/>
            </w:pPr>
            <w:r w:rsidRPr="00EF40BA">
              <w:t>2</w:t>
            </w:r>
          </w:p>
        </w:tc>
        <w:tc>
          <w:tcPr>
            <w:tcW w:w="1330" w:type="dxa"/>
            <w:tcBorders>
              <w:top w:val="none" w:sz="0" w:space="0" w:color="auto"/>
              <w:bottom w:val="none" w:sz="0" w:space="0" w:color="auto"/>
              <w:right w:val="none" w:sz="0" w:space="0" w:color="auto"/>
            </w:tcBorders>
            <w:noWrap/>
            <w:hideMark/>
          </w:tcPr>
          <w:p w14:paraId="57C7E6A5" w14:textId="77777777" w:rsidR="000054F7" w:rsidRPr="00EF40BA" w:rsidRDefault="000054F7" w:rsidP="00A25ECD">
            <w:pPr>
              <w:jc w:val="center"/>
              <w:cnfStyle w:val="000000100000" w:firstRow="0" w:lastRow="0" w:firstColumn="0" w:lastColumn="0" w:oddVBand="0" w:evenVBand="0" w:oddHBand="1" w:evenHBand="0" w:firstRowFirstColumn="0" w:firstRowLastColumn="0" w:lastRowFirstColumn="0" w:lastRowLastColumn="0"/>
            </w:pPr>
            <w:r w:rsidRPr="00EF40BA">
              <w:t>2%</w:t>
            </w:r>
          </w:p>
        </w:tc>
      </w:tr>
      <w:tr w:rsidR="000054F7" w:rsidRPr="00EF40BA" w14:paraId="6AE02687" w14:textId="77777777" w:rsidTr="000054F7">
        <w:trPr>
          <w:trHeight w:val="300"/>
          <w:jc w:val="center"/>
        </w:trPr>
        <w:tc>
          <w:tcPr>
            <w:cnfStyle w:val="001000000000" w:firstRow="0" w:lastRow="0" w:firstColumn="1" w:lastColumn="0" w:oddVBand="0" w:evenVBand="0" w:oddHBand="0" w:evenHBand="0" w:firstRowFirstColumn="0" w:firstRowLastColumn="0" w:lastRowFirstColumn="0" w:lastRowLastColumn="0"/>
            <w:tcW w:w="1799" w:type="dxa"/>
            <w:noWrap/>
            <w:hideMark/>
          </w:tcPr>
          <w:p w14:paraId="270B7FD4" w14:textId="77777777" w:rsidR="000054F7" w:rsidRPr="00EF40BA" w:rsidRDefault="000054F7" w:rsidP="00A25ECD">
            <w:pPr>
              <w:jc w:val="center"/>
            </w:pPr>
            <w:r w:rsidRPr="00EF40BA">
              <w:t>20</w:t>
            </w:r>
          </w:p>
        </w:tc>
        <w:tc>
          <w:tcPr>
            <w:tcW w:w="1133" w:type="dxa"/>
            <w:noWrap/>
            <w:hideMark/>
          </w:tcPr>
          <w:p w14:paraId="7F33B88F" w14:textId="77777777" w:rsidR="000054F7" w:rsidRPr="00EF40BA" w:rsidRDefault="000054F7" w:rsidP="00A25ECD">
            <w:pPr>
              <w:jc w:val="center"/>
              <w:cnfStyle w:val="000000000000" w:firstRow="0" w:lastRow="0" w:firstColumn="0" w:lastColumn="0" w:oddVBand="0" w:evenVBand="0" w:oddHBand="0" w:evenHBand="0" w:firstRowFirstColumn="0" w:firstRowLastColumn="0" w:lastRowFirstColumn="0" w:lastRowLastColumn="0"/>
            </w:pPr>
            <w:r w:rsidRPr="00EF40BA">
              <w:t>2</w:t>
            </w:r>
          </w:p>
        </w:tc>
        <w:tc>
          <w:tcPr>
            <w:tcW w:w="1330" w:type="dxa"/>
            <w:noWrap/>
            <w:hideMark/>
          </w:tcPr>
          <w:p w14:paraId="7E3C5043" w14:textId="77777777" w:rsidR="000054F7" w:rsidRPr="00EF40BA" w:rsidRDefault="000054F7" w:rsidP="00A25ECD">
            <w:pPr>
              <w:jc w:val="center"/>
              <w:cnfStyle w:val="000000000000" w:firstRow="0" w:lastRow="0" w:firstColumn="0" w:lastColumn="0" w:oddVBand="0" w:evenVBand="0" w:oddHBand="0" w:evenHBand="0" w:firstRowFirstColumn="0" w:firstRowLastColumn="0" w:lastRowFirstColumn="0" w:lastRowLastColumn="0"/>
            </w:pPr>
            <w:r w:rsidRPr="00EF40BA">
              <w:t>2%</w:t>
            </w:r>
          </w:p>
        </w:tc>
      </w:tr>
      <w:tr w:rsidR="000054F7" w:rsidRPr="00EF40BA" w14:paraId="40F13C50" w14:textId="77777777" w:rsidTr="000054F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9" w:type="dxa"/>
            <w:tcBorders>
              <w:top w:val="none" w:sz="0" w:space="0" w:color="auto"/>
              <w:left w:val="none" w:sz="0" w:space="0" w:color="auto"/>
              <w:bottom w:val="none" w:sz="0" w:space="0" w:color="auto"/>
            </w:tcBorders>
            <w:noWrap/>
            <w:hideMark/>
          </w:tcPr>
          <w:p w14:paraId="3433038D" w14:textId="77777777" w:rsidR="000054F7" w:rsidRPr="00EF40BA" w:rsidRDefault="000054F7" w:rsidP="00A25ECD">
            <w:pPr>
              <w:jc w:val="center"/>
            </w:pPr>
            <w:r w:rsidRPr="00EF40BA">
              <w:t>10</w:t>
            </w:r>
          </w:p>
        </w:tc>
        <w:tc>
          <w:tcPr>
            <w:tcW w:w="1133" w:type="dxa"/>
            <w:tcBorders>
              <w:top w:val="none" w:sz="0" w:space="0" w:color="auto"/>
              <w:bottom w:val="none" w:sz="0" w:space="0" w:color="auto"/>
            </w:tcBorders>
            <w:noWrap/>
            <w:hideMark/>
          </w:tcPr>
          <w:p w14:paraId="241C1177" w14:textId="77777777" w:rsidR="000054F7" w:rsidRPr="00EF40BA" w:rsidRDefault="000054F7" w:rsidP="00A25ECD">
            <w:pPr>
              <w:jc w:val="center"/>
              <w:cnfStyle w:val="000000100000" w:firstRow="0" w:lastRow="0" w:firstColumn="0" w:lastColumn="0" w:oddVBand="0" w:evenVBand="0" w:oddHBand="1" w:evenHBand="0" w:firstRowFirstColumn="0" w:firstRowLastColumn="0" w:lastRowFirstColumn="0" w:lastRowLastColumn="0"/>
            </w:pPr>
            <w:r>
              <w:t>4</w:t>
            </w:r>
          </w:p>
        </w:tc>
        <w:tc>
          <w:tcPr>
            <w:tcW w:w="1330" w:type="dxa"/>
            <w:tcBorders>
              <w:top w:val="none" w:sz="0" w:space="0" w:color="auto"/>
              <w:bottom w:val="none" w:sz="0" w:space="0" w:color="auto"/>
              <w:right w:val="none" w:sz="0" w:space="0" w:color="auto"/>
            </w:tcBorders>
            <w:noWrap/>
            <w:hideMark/>
          </w:tcPr>
          <w:p w14:paraId="63D6C284" w14:textId="77777777" w:rsidR="000054F7" w:rsidRPr="00EF40BA" w:rsidRDefault="000054F7" w:rsidP="00A25ECD">
            <w:pPr>
              <w:jc w:val="center"/>
              <w:cnfStyle w:val="000000100000" w:firstRow="0" w:lastRow="0" w:firstColumn="0" w:lastColumn="0" w:oddVBand="0" w:evenVBand="0" w:oddHBand="1" w:evenHBand="0" w:firstRowFirstColumn="0" w:firstRowLastColumn="0" w:lastRowFirstColumn="0" w:lastRowLastColumn="0"/>
            </w:pPr>
            <w:r>
              <w:t>4</w:t>
            </w:r>
            <w:r w:rsidRPr="00EF40BA">
              <w:t>%</w:t>
            </w:r>
          </w:p>
        </w:tc>
      </w:tr>
      <w:tr w:rsidR="000054F7" w:rsidRPr="00EF40BA" w14:paraId="4AE7D61C" w14:textId="77777777" w:rsidTr="000054F7">
        <w:trPr>
          <w:trHeight w:val="300"/>
          <w:jc w:val="center"/>
        </w:trPr>
        <w:tc>
          <w:tcPr>
            <w:cnfStyle w:val="001000000000" w:firstRow="0" w:lastRow="0" w:firstColumn="1" w:lastColumn="0" w:oddVBand="0" w:evenVBand="0" w:oddHBand="0" w:evenHBand="0" w:firstRowFirstColumn="0" w:firstRowLastColumn="0" w:lastRowFirstColumn="0" w:lastRowLastColumn="0"/>
            <w:tcW w:w="1799" w:type="dxa"/>
            <w:noWrap/>
            <w:hideMark/>
          </w:tcPr>
          <w:p w14:paraId="01A3944B" w14:textId="77777777" w:rsidR="000054F7" w:rsidRPr="00EF40BA" w:rsidRDefault="000054F7" w:rsidP="00A25ECD">
            <w:pPr>
              <w:jc w:val="center"/>
            </w:pPr>
            <w:r w:rsidRPr="00EF40BA">
              <w:t>0</w:t>
            </w:r>
          </w:p>
        </w:tc>
        <w:tc>
          <w:tcPr>
            <w:tcW w:w="1133" w:type="dxa"/>
            <w:noWrap/>
            <w:hideMark/>
          </w:tcPr>
          <w:p w14:paraId="7B7CC2CE" w14:textId="77777777" w:rsidR="000054F7" w:rsidRPr="00EF40BA" w:rsidRDefault="000054F7" w:rsidP="00A25ECD">
            <w:pPr>
              <w:jc w:val="center"/>
              <w:cnfStyle w:val="000000000000" w:firstRow="0" w:lastRow="0" w:firstColumn="0" w:lastColumn="0" w:oddVBand="0" w:evenVBand="0" w:oddHBand="0" w:evenHBand="0" w:firstRowFirstColumn="0" w:firstRowLastColumn="0" w:lastRowFirstColumn="0" w:lastRowLastColumn="0"/>
            </w:pPr>
            <w:r>
              <w:t>84</w:t>
            </w:r>
          </w:p>
        </w:tc>
        <w:tc>
          <w:tcPr>
            <w:tcW w:w="1330" w:type="dxa"/>
            <w:noWrap/>
            <w:hideMark/>
          </w:tcPr>
          <w:p w14:paraId="7C4A5690" w14:textId="77777777" w:rsidR="000054F7" w:rsidRPr="00EF40BA" w:rsidRDefault="000054F7" w:rsidP="00A25ECD">
            <w:pPr>
              <w:jc w:val="center"/>
              <w:cnfStyle w:val="000000000000" w:firstRow="0" w:lastRow="0" w:firstColumn="0" w:lastColumn="0" w:oddVBand="0" w:evenVBand="0" w:oddHBand="0" w:evenHBand="0" w:firstRowFirstColumn="0" w:firstRowLastColumn="0" w:lastRowFirstColumn="0" w:lastRowLastColumn="0"/>
            </w:pPr>
            <w:r>
              <w:t>84</w:t>
            </w:r>
            <w:r w:rsidRPr="00EF40BA">
              <w:t>%</w:t>
            </w:r>
          </w:p>
        </w:tc>
      </w:tr>
      <w:tr w:rsidR="000054F7" w:rsidRPr="00EF40BA" w14:paraId="413EFA61" w14:textId="77777777" w:rsidTr="000054F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9" w:type="dxa"/>
            <w:tcBorders>
              <w:top w:val="none" w:sz="0" w:space="0" w:color="auto"/>
              <w:left w:val="none" w:sz="0" w:space="0" w:color="auto"/>
              <w:bottom w:val="none" w:sz="0" w:space="0" w:color="auto"/>
            </w:tcBorders>
            <w:noWrap/>
            <w:hideMark/>
          </w:tcPr>
          <w:p w14:paraId="3B0DDD7E" w14:textId="77777777" w:rsidR="000054F7" w:rsidRPr="00EF40BA" w:rsidRDefault="000054F7" w:rsidP="00A25ECD">
            <w:pPr>
              <w:jc w:val="center"/>
            </w:pPr>
            <w:r w:rsidRPr="00EF40BA">
              <w:t>-10</w:t>
            </w:r>
          </w:p>
        </w:tc>
        <w:tc>
          <w:tcPr>
            <w:tcW w:w="1133" w:type="dxa"/>
            <w:tcBorders>
              <w:top w:val="none" w:sz="0" w:space="0" w:color="auto"/>
              <w:bottom w:val="none" w:sz="0" w:space="0" w:color="auto"/>
            </w:tcBorders>
            <w:noWrap/>
            <w:hideMark/>
          </w:tcPr>
          <w:p w14:paraId="1DF70524" w14:textId="77777777" w:rsidR="000054F7" w:rsidRPr="00EF40BA" w:rsidRDefault="000054F7" w:rsidP="00A25ECD">
            <w:pPr>
              <w:jc w:val="center"/>
              <w:cnfStyle w:val="000000100000" w:firstRow="0" w:lastRow="0" w:firstColumn="0" w:lastColumn="0" w:oddVBand="0" w:evenVBand="0" w:oddHBand="1" w:evenHBand="0" w:firstRowFirstColumn="0" w:firstRowLastColumn="0" w:lastRowFirstColumn="0" w:lastRowLastColumn="0"/>
            </w:pPr>
            <w:r>
              <w:t>3</w:t>
            </w:r>
          </w:p>
        </w:tc>
        <w:tc>
          <w:tcPr>
            <w:tcW w:w="1330" w:type="dxa"/>
            <w:tcBorders>
              <w:top w:val="none" w:sz="0" w:space="0" w:color="auto"/>
              <w:bottom w:val="none" w:sz="0" w:space="0" w:color="auto"/>
              <w:right w:val="none" w:sz="0" w:space="0" w:color="auto"/>
            </w:tcBorders>
            <w:noWrap/>
            <w:hideMark/>
          </w:tcPr>
          <w:p w14:paraId="288CEBCE" w14:textId="77777777" w:rsidR="000054F7" w:rsidRPr="00EF40BA" w:rsidRDefault="000054F7" w:rsidP="00A25ECD">
            <w:pPr>
              <w:jc w:val="center"/>
              <w:cnfStyle w:val="000000100000" w:firstRow="0" w:lastRow="0" w:firstColumn="0" w:lastColumn="0" w:oddVBand="0" w:evenVBand="0" w:oddHBand="1" w:evenHBand="0" w:firstRowFirstColumn="0" w:firstRowLastColumn="0" w:lastRowFirstColumn="0" w:lastRowLastColumn="0"/>
            </w:pPr>
            <w:r>
              <w:t>3</w:t>
            </w:r>
            <w:r w:rsidRPr="00EF40BA">
              <w:t>%</w:t>
            </w:r>
          </w:p>
        </w:tc>
      </w:tr>
      <w:tr w:rsidR="000054F7" w:rsidRPr="00EF40BA" w14:paraId="2BD44CA9" w14:textId="77777777" w:rsidTr="000054F7">
        <w:trPr>
          <w:trHeight w:val="300"/>
          <w:jc w:val="center"/>
        </w:trPr>
        <w:tc>
          <w:tcPr>
            <w:cnfStyle w:val="001000000000" w:firstRow="0" w:lastRow="0" w:firstColumn="1" w:lastColumn="0" w:oddVBand="0" w:evenVBand="0" w:oddHBand="0" w:evenHBand="0" w:firstRowFirstColumn="0" w:firstRowLastColumn="0" w:lastRowFirstColumn="0" w:lastRowLastColumn="0"/>
            <w:tcW w:w="1799" w:type="dxa"/>
            <w:noWrap/>
            <w:hideMark/>
          </w:tcPr>
          <w:p w14:paraId="28182C16" w14:textId="77777777" w:rsidR="000054F7" w:rsidRPr="00EF40BA" w:rsidRDefault="000054F7" w:rsidP="00A25ECD">
            <w:pPr>
              <w:jc w:val="center"/>
            </w:pPr>
            <w:r w:rsidRPr="00EF40BA">
              <w:t>-20</w:t>
            </w:r>
          </w:p>
        </w:tc>
        <w:tc>
          <w:tcPr>
            <w:tcW w:w="1133" w:type="dxa"/>
            <w:noWrap/>
            <w:hideMark/>
          </w:tcPr>
          <w:p w14:paraId="42602175" w14:textId="77777777" w:rsidR="000054F7" w:rsidRPr="00EF40BA" w:rsidRDefault="000054F7" w:rsidP="00A25ECD">
            <w:pPr>
              <w:jc w:val="center"/>
              <w:cnfStyle w:val="000000000000" w:firstRow="0" w:lastRow="0" w:firstColumn="0" w:lastColumn="0" w:oddVBand="0" w:evenVBand="0" w:oddHBand="0" w:evenHBand="0" w:firstRowFirstColumn="0" w:firstRowLastColumn="0" w:lastRowFirstColumn="0" w:lastRowLastColumn="0"/>
            </w:pPr>
            <w:r w:rsidRPr="00EF40BA">
              <w:t>3</w:t>
            </w:r>
          </w:p>
        </w:tc>
        <w:tc>
          <w:tcPr>
            <w:tcW w:w="1330" w:type="dxa"/>
            <w:noWrap/>
            <w:hideMark/>
          </w:tcPr>
          <w:p w14:paraId="7CF05AB2" w14:textId="77777777" w:rsidR="000054F7" w:rsidRPr="00EF40BA" w:rsidRDefault="000054F7" w:rsidP="00A25ECD">
            <w:pPr>
              <w:jc w:val="center"/>
              <w:cnfStyle w:val="000000000000" w:firstRow="0" w:lastRow="0" w:firstColumn="0" w:lastColumn="0" w:oddVBand="0" w:evenVBand="0" w:oddHBand="0" w:evenHBand="0" w:firstRowFirstColumn="0" w:firstRowLastColumn="0" w:lastRowFirstColumn="0" w:lastRowLastColumn="0"/>
            </w:pPr>
            <w:r w:rsidRPr="00EF40BA">
              <w:t>3%</w:t>
            </w:r>
          </w:p>
        </w:tc>
      </w:tr>
      <w:tr w:rsidR="000054F7" w:rsidRPr="00EF40BA" w14:paraId="2AF4A55A" w14:textId="77777777" w:rsidTr="000054F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9" w:type="dxa"/>
            <w:tcBorders>
              <w:top w:val="none" w:sz="0" w:space="0" w:color="auto"/>
              <w:left w:val="none" w:sz="0" w:space="0" w:color="auto"/>
              <w:bottom w:val="none" w:sz="0" w:space="0" w:color="auto"/>
            </w:tcBorders>
            <w:noWrap/>
            <w:hideMark/>
          </w:tcPr>
          <w:p w14:paraId="0A8DBBC0" w14:textId="77777777" w:rsidR="000054F7" w:rsidRPr="00EF40BA" w:rsidRDefault="000054F7" w:rsidP="00A25ECD">
            <w:pPr>
              <w:jc w:val="center"/>
            </w:pPr>
            <w:r w:rsidRPr="00EF40BA">
              <w:t>-30</w:t>
            </w:r>
          </w:p>
        </w:tc>
        <w:tc>
          <w:tcPr>
            <w:tcW w:w="1133" w:type="dxa"/>
            <w:tcBorders>
              <w:top w:val="none" w:sz="0" w:space="0" w:color="auto"/>
              <w:bottom w:val="none" w:sz="0" w:space="0" w:color="auto"/>
            </w:tcBorders>
            <w:noWrap/>
            <w:hideMark/>
          </w:tcPr>
          <w:p w14:paraId="7A686BBE" w14:textId="77777777" w:rsidR="000054F7" w:rsidRPr="00EF40BA" w:rsidRDefault="000054F7" w:rsidP="00A25ECD">
            <w:pPr>
              <w:jc w:val="center"/>
              <w:cnfStyle w:val="000000100000" w:firstRow="0" w:lastRow="0" w:firstColumn="0" w:lastColumn="0" w:oddVBand="0" w:evenVBand="0" w:oddHBand="1" w:evenHBand="0" w:firstRowFirstColumn="0" w:firstRowLastColumn="0" w:lastRowFirstColumn="0" w:lastRowLastColumn="0"/>
            </w:pPr>
            <w:r w:rsidRPr="00EF40BA">
              <w:t>1</w:t>
            </w:r>
          </w:p>
        </w:tc>
        <w:tc>
          <w:tcPr>
            <w:tcW w:w="1330" w:type="dxa"/>
            <w:tcBorders>
              <w:top w:val="none" w:sz="0" w:space="0" w:color="auto"/>
              <w:bottom w:val="none" w:sz="0" w:space="0" w:color="auto"/>
              <w:right w:val="none" w:sz="0" w:space="0" w:color="auto"/>
            </w:tcBorders>
            <w:noWrap/>
            <w:hideMark/>
          </w:tcPr>
          <w:p w14:paraId="12FA64AB" w14:textId="77777777" w:rsidR="000054F7" w:rsidRPr="00EF40BA" w:rsidRDefault="000054F7" w:rsidP="00A25ECD">
            <w:pPr>
              <w:jc w:val="center"/>
              <w:cnfStyle w:val="000000100000" w:firstRow="0" w:lastRow="0" w:firstColumn="0" w:lastColumn="0" w:oddVBand="0" w:evenVBand="0" w:oddHBand="1" w:evenHBand="0" w:firstRowFirstColumn="0" w:firstRowLastColumn="0" w:lastRowFirstColumn="0" w:lastRowLastColumn="0"/>
            </w:pPr>
            <w:r w:rsidRPr="00EF40BA">
              <w:t>1%</w:t>
            </w:r>
          </w:p>
        </w:tc>
      </w:tr>
    </w:tbl>
    <w:p w14:paraId="5E1084DF" w14:textId="1A3E3BDA" w:rsidR="000054F7" w:rsidRDefault="000054F7" w:rsidP="000054F7">
      <w:pPr>
        <w:jc w:val="center"/>
        <w:rPr>
          <w:rFonts w:ascii="Sansa-Normal" w:eastAsia="Times New Roman" w:hAnsi="Sansa-Normal" w:cstheme="minorHAnsi"/>
          <w:iCs/>
          <w:sz w:val="24"/>
          <w:szCs w:val="24"/>
        </w:rPr>
      </w:pPr>
      <w:r>
        <w:rPr>
          <w:rFonts w:ascii="Sansa-Normal" w:eastAsia="Times New Roman" w:hAnsi="Sansa-Normal" w:cstheme="minorHAnsi"/>
          <w:iCs/>
          <w:sz w:val="24"/>
          <w:szCs w:val="24"/>
        </w:rPr>
        <w:t>Tabla 1</w:t>
      </w:r>
    </w:p>
    <w:p w14:paraId="3AC649A3" w14:textId="77777777" w:rsidR="000054F7" w:rsidRDefault="000054F7" w:rsidP="000054F7">
      <w:pPr>
        <w:jc w:val="both"/>
        <w:rPr>
          <w:rFonts w:ascii="Sansa-Normal" w:eastAsia="Times New Roman" w:hAnsi="Sansa-Normal" w:cstheme="minorHAnsi"/>
          <w:iCs/>
          <w:sz w:val="24"/>
          <w:szCs w:val="24"/>
        </w:rPr>
      </w:pPr>
    </w:p>
    <w:p w14:paraId="2BD7EBFB" w14:textId="160CD7CD" w:rsidR="000054F7" w:rsidRPr="000054F7" w:rsidRDefault="000054F7" w:rsidP="000054F7">
      <w:pPr>
        <w:jc w:val="both"/>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La frecuencia relativa es el porcentaje de veces en que el pedido llegó cuando quedaba un determinado número de piezas en almacén. Los números negativos indican que faltaban piezas en almacén y tuvieron que hacerse órdenes extraordinarias o detener la producció</w:t>
      </w:r>
      <w:r>
        <w:rPr>
          <w:rFonts w:ascii="Sansa-Normal" w:eastAsia="Times New Roman" w:hAnsi="Sansa-Normal" w:cstheme="minorHAnsi"/>
          <w:iCs/>
          <w:sz w:val="24"/>
          <w:szCs w:val="24"/>
        </w:rPr>
        <w:t>n.</w:t>
      </w:r>
    </w:p>
    <w:p w14:paraId="2161A347" w14:textId="05BF9616" w:rsidR="000054F7" w:rsidRPr="000054F7" w:rsidRDefault="000054F7" w:rsidP="000054F7">
      <w:pPr>
        <w:jc w:val="both"/>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En este caso, las veces que llegó cada pedido con cierto número de piezas en almacén, igualan los porcentajes de la frecuencia relativa, porque son 100 pedidos, esto no deberá ocurrir si son más o menos de 100 pedidos.</w:t>
      </w:r>
    </w:p>
    <w:p w14:paraId="5530540F" w14:textId="31B37695" w:rsidR="000054F7" w:rsidRPr="000054F7" w:rsidRDefault="000054F7" w:rsidP="000054F7">
      <w:pPr>
        <w:jc w:val="both"/>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Una vez que se cuenta con la tabla de frecuencias relativas correspondientes a los números de piezas en almacén al momento de llegar los pedidos, puede hacerse una estimación de los costos de un inventar</w:t>
      </w:r>
      <w:r>
        <w:rPr>
          <w:rFonts w:ascii="Sansa-Normal" w:eastAsia="Times New Roman" w:hAnsi="Sansa-Normal" w:cstheme="minorHAnsi"/>
          <w:iCs/>
          <w:sz w:val="24"/>
          <w:szCs w:val="24"/>
        </w:rPr>
        <w:t>io de seguridad para cada caso.</w:t>
      </w:r>
    </w:p>
    <w:p w14:paraId="3A15B1F8" w14:textId="77777777" w:rsidR="000054F7" w:rsidRPr="000054F7" w:rsidRDefault="000054F7" w:rsidP="000054F7">
      <w:pPr>
        <w:jc w:val="both"/>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Para las estimaciones, debe tomarse en cuenta cada caso en el que faltaron piezas al momento de la llegada del pedido, para el caso anterior, tomamos las últimas 4 filas:</w:t>
      </w:r>
    </w:p>
    <w:p w14:paraId="7267BB7C" w14:textId="32AB96CC" w:rsidR="007D4A87" w:rsidRDefault="007D4A87" w:rsidP="00B30BD5">
      <w:pPr>
        <w:jc w:val="both"/>
        <w:rPr>
          <w:rFonts w:ascii="Sansa-Normal" w:eastAsia="Times New Roman" w:hAnsi="Sansa-Normal" w:cstheme="minorHAnsi"/>
          <w:iCs/>
          <w:sz w:val="24"/>
          <w:szCs w:val="24"/>
        </w:rPr>
      </w:pPr>
    </w:p>
    <w:p w14:paraId="4CD8FF4E" w14:textId="77777777" w:rsidR="000054F7" w:rsidRDefault="000054F7" w:rsidP="00B30BD5">
      <w:pPr>
        <w:jc w:val="both"/>
        <w:rPr>
          <w:rFonts w:ascii="Sansa-Normal" w:eastAsia="Times New Roman" w:hAnsi="Sansa-Normal" w:cstheme="minorHAnsi"/>
          <w:iCs/>
          <w:sz w:val="24"/>
          <w:szCs w:val="24"/>
        </w:rPr>
      </w:pPr>
    </w:p>
    <w:tbl>
      <w:tblPr>
        <w:tblStyle w:val="Listaclara-nfasis1"/>
        <w:tblW w:w="0" w:type="auto"/>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200"/>
        <w:gridCol w:w="1439"/>
      </w:tblGrid>
      <w:tr w:rsidR="000054F7" w:rsidRPr="00EF40BA" w14:paraId="7E4A0A1A" w14:textId="77777777" w:rsidTr="000054F7">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1287" w:type="dxa"/>
            <w:vMerge w:val="restart"/>
            <w:hideMark/>
          </w:tcPr>
          <w:p w14:paraId="06DD230A" w14:textId="77777777" w:rsidR="000054F7" w:rsidRPr="00EF40BA" w:rsidRDefault="000054F7" w:rsidP="00A25ECD">
            <w:pPr>
              <w:jc w:val="center"/>
            </w:pPr>
            <w:r w:rsidRPr="00EF40BA">
              <w:t>P</w:t>
            </w:r>
            <w:r>
              <w:t>ie</w:t>
            </w:r>
            <w:r w:rsidRPr="00EF40BA">
              <w:t>zas en almacén al resurtir</w:t>
            </w:r>
          </w:p>
        </w:tc>
        <w:tc>
          <w:tcPr>
            <w:tcW w:w="1200" w:type="dxa"/>
            <w:vMerge w:val="restart"/>
            <w:hideMark/>
          </w:tcPr>
          <w:p w14:paraId="6C95E7EF" w14:textId="77777777" w:rsidR="000054F7" w:rsidRPr="00EF40BA" w:rsidRDefault="000054F7" w:rsidP="00A25ECD">
            <w:pPr>
              <w:jc w:val="center"/>
              <w:cnfStyle w:val="100000000000" w:firstRow="1" w:lastRow="0" w:firstColumn="0" w:lastColumn="0" w:oddVBand="0" w:evenVBand="0" w:oddHBand="0" w:evenHBand="0" w:firstRowFirstColumn="0" w:firstRowLastColumn="0" w:lastRowFirstColumn="0" w:lastRowLastColumn="0"/>
            </w:pPr>
            <w:r w:rsidRPr="00EF40BA">
              <w:t>Veces que llegó el pedido</w:t>
            </w:r>
          </w:p>
        </w:tc>
        <w:tc>
          <w:tcPr>
            <w:tcW w:w="1439" w:type="dxa"/>
            <w:vMerge w:val="restart"/>
            <w:hideMark/>
          </w:tcPr>
          <w:p w14:paraId="4DEFA998" w14:textId="77777777" w:rsidR="000054F7" w:rsidRPr="00EF40BA" w:rsidRDefault="000054F7" w:rsidP="00A25ECD">
            <w:pPr>
              <w:jc w:val="center"/>
              <w:cnfStyle w:val="100000000000" w:firstRow="1" w:lastRow="0" w:firstColumn="0" w:lastColumn="0" w:oddVBand="0" w:evenVBand="0" w:oddHBand="0" w:evenHBand="0" w:firstRowFirstColumn="0" w:firstRowLastColumn="0" w:lastRowFirstColumn="0" w:lastRowLastColumn="0"/>
            </w:pPr>
            <w:r w:rsidRPr="00EF40BA">
              <w:t>Frecuencia relativa</w:t>
            </w:r>
          </w:p>
        </w:tc>
      </w:tr>
      <w:tr w:rsidR="000054F7" w:rsidRPr="00EF40BA" w14:paraId="1A8397BE" w14:textId="77777777" w:rsidTr="000054F7">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1287" w:type="dxa"/>
            <w:vMerge/>
            <w:tcBorders>
              <w:top w:val="none" w:sz="0" w:space="0" w:color="auto"/>
              <w:left w:val="none" w:sz="0" w:space="0" w:color="auto"/>
              <w:bottom w:val="none" w:sz="0" w:space="0" w:color="auto"/>
            </w:tcBorders>
            <w:hideMark/>
          </w:tcPr>
          <w:p w14:paraId="79727822" w14:textId="77777777" w:rsidR="000054F7" w:rsidRPr="00EF40BA" w:rsidRDefault="000054F7" w:rsidP="00A25ECD">
            <w:pPr>
              <w:jc w:val="center"/>
            </w:pPr>
          </w:p>
        </w:tc>
        <w:tc>
          <w:tcPr>
            <w:tcW w:w="1200" w:type="dxa"/>
            <w:vMerge/>
            <w:tcBorders>
              <w:top w:val="none" w:sz="0" w:space="0" w:color="auto"/>
              <w:bottom w:val="none" w:sz="0" w:space="0" w:color="auto"/>
            </w:tcBorders>
            <w:hideMark/>
          </w:tcPr>
          <w:p w14:paraId="3777B7BF" w14:textId="77777777" w:rsidR="000054F7" w:rsidRPr="00EF40BA" w:rsidRDefault="000054F7" w:rsidP="00A25ECD">
            <w:pPr>
              <w:jc w:val="center"/>
              <w:cnfStyle w:val="000000100000" w:firstRow="0" w:lastRow="0" w:firstColumn="0" w:lastColumn="0" w:oddVBand="0" w:evenVBand="0" w:oddHBand="1" w:evenHBand="0" w:firstRowFirstColumn="0" w:firstRowLastColumn="0" w:lastRowFirstColumn="0" w:lastRowLastColumn="0"/>
            </w:pPr>
          </w:p>
        </w:tc>
        <w:tc>
          <w:tcPr>
            <w:tcW w:w="1439" w:type="dxa"/>
            <w:vMerge/>
            <w:tcBorders>
              <w:top w:val="none" w:sz="0" w:space="0" w:color="auto"/>
              <w:bottom w:val="none" w:sz="0" w:space="0" w:color="auto"/>
              <w:right w:val="none" w:sz="0" w:space="0" w:color="auto"/>
            </w:tcBorders>
            <w:hideMark/>
          </w:tcPr>
          <w:p w14:paraId="06D0FCEC" w14:textId="77777777" w:rsidR="000054F7" w:rsidRPr="00EF40BA" w:rsidRDefault="000054F7" w:rsidP="00A25ECD">
            <w:pPr>
              <w:jc w:val="center"/>
              <w:cnfStyle w:val="000000100000" w:firstRow="0" w:lastRow="0" w:firstColumn="0" w:lastColumn="0" w:oddVBand="0" w:evenVBand="0" w:oddHBand="1" w:evenHBand="0" w:firstRowFirstColumn="0" w:firstRowLastColumn="0" w:lastRowFirstColumn="0" w:lastRowLastColumn="0"/>
            </w:pPr>
          </w:p>
        </w:tc>
      </w:tr>
      <w:tr w:rsidR="000054F7" w:rsidRPr="00EF40BA" w14:paraId="27EAF7D9" w14:textId="77777777" w:rsidTr="000054F7">
        <w:trPr>
          <w:trHeight w:val="300"/>
          <w:jc w:val="center"/>
        </w:trPr>
        <w:tc>
          <w:tcPr>
            <w:cnfStyle w:val="001000000000" w:firstRow="0" w:lastRow="0" w:firstColumn="1" w:lastColumn="0" w:oddVBand="0" w:evenVBand="0" w:oddHBand="0" w:evenHBand="0" w:firstRowFirstColumn="0" w:firstRowLastColumn="0" w:lastRowFirstColumn="0" w:lastRowLastColumn="0"/>
            <w:tcW w:w="1287" w:type="dxa"/>
            <w:noWrap/>
            <w:hideMark/>
          </w:tcPr>
          <w:p w14:paraId="45611BBB" w14:textId="77777777" w:rsidR="000054F7" w:rsidRPr="00EF40BA" w:rsidRDefault="000054F7" w:rsidP="00A25ECD">
            <w:pPr>
              <w:jc w:val="center"/>
            </w:pPr>
            <w:r w:rsidRPr="00EF40BA">
              <w:t>0</w:t>
            </w:r>
          </w:p>
        </w:tc>
        <w:tc>
          <w:tcPr>
            <w:tcW w:w="1200" w:type="dxa"/>
            <w:noWrap/>
            <w:hideMark/>
          </w:tcPr>
          <w:p w14:paraId="3971A841" w14:textId="77777777" w:rsidR="000054F7" w:rsidRPr="00EF40BA" w:rsidRDefault="000054F7" w:rsidP="00A25ECD">
            <w:pPr>
              <w:jc w:val="center"/>
              <w:cnfStyle w:val="000000000000" w:firstRow="0" w:lastRow="0" w:firstColumn="0" w:lastColumn="0" w:oddVBand="0" w:evenVBand="0" w:oddHBand="0" w:evenHBand="0" w:firstRowFirstColumn="0" w:firstRowLastColumn="0" w:lastRowFirstColumn="0" w:lastRowLastColumn="0"/>
            </w:pPr>
            <w:r>
              <w:t>84</w:t>
            </w:r>
          </w:p>
        </w:tc>
        <w:tc>
          <w:tcPr>
            <w:tcW w:w="1439" w:type="dxa"/>
            <w:noWrap/>
            <w:hideMark/>
          </w:tcPr>
          <w:p w14:paraId="58509EDA" w14:textId="77777777" w:rsidR="000054F7" w:rsidRPr="00EF40BA" w:rsidRDefault="000054F7" w:rsidP="00A25ECD">
            <w:pPr>
              <w:jc w:val="center"/>
              <w:cnfStyle w:val="000000000000" w:firstRow="0" w:lastRow="0" w:firstColumn="0" w:lastColumn="0" w:oddVBand="0" w:evenVBand="0" w:oddHBand="0" w:evenHBand="0" w:firstRowFirstColumn="0" w:firstRowLastColumn="0" w:lastRowFirstColumn="0" w:lastRowLastColumn="0"/>
            </w:pPr>
            <w:r>
              <w:t>84</w:t>
            </w:r>
            <w:r w:rsidRPr="00EF40BA">
              <w:t>%</w:t>
            </w:r>
          </w:p>
        </w:tc>
      </w:tr>
      <w:tr w:rsidR="000054F7" w:rsidRPr="00EF40BA" w14:paraId="66BEAC24" w14:textId="77777777" w:rsidTr="000054F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87" w:type="dxa"/>
            <w:tcBorders>
              <w:top w:val="none" w:sz="0" w:space="0" w:color="auto"/>
              <w:left w:val="none" w:sz="0" w:space="0" w:color="auto"/>
              <w:bottom w:val="none" w:sz="0" w:space="0" w:color="auto"/>
            </w:tcBorders>
            <w:noWrap/>
            <w:hideMark/>
          </w:tcPr>
          <w:p w14:paraId="7C3313D3" w14:textId="77777777" w:rsidR="000054F7" w:rsidRPr="00EF40BA" w:rsidRDefault="000054F7" w:rsidP="00A25ECD">
            <w:pPr>
              <w:jc w:val="center"/>
            </w:pPr>
            <w:r w:rsidRPr="00EF40BA">
              <w:t>-10</w:t>
            </w:r>
          </w:p>
        </w:tc>
        <w:tc>
          <w:tcPr>
            <w:tcW w:w="1200" w:type="dxa"/>
            <w:tcBorders>
              <w:top w:val="none" w:sz="0" w:space="0" w:color="auto"/>
              <w:bottom w:val="none" w:sz="0" w:space="0" w:color="auto"/>
            </w:tcBorders>
            <w:noWrap/>
            <w:hideMark/>
          </w:tcPr>
          <w:p w14:paraId="4E8C773E" w14:textId="77777777" w:rsidR="000054F7" w:rsidRPr="00EF40BA" w:rsidRDefault="000054F7" w:rsidP="00A25ECD">
            <w:pPr>
              <w:jc w:val="center"/>
              <w:cnfStyle w:val="000000100000" w:firstRow="0" w:lastRow="0" w:firstColumn="0" w:lastColumn="0" w:oddVBand="0" w:evenVBand="0" w:oddHBand="1" w:evenHBand="0" w:firstRowFirstColumn="0" w:firstRowLastColumn="0" w:lastRowFirstColumn="0" w:lastRowLastColumn="0"/>
            </w:pPr>
            <w:r>
              <w:t>3</w:t>
            </w:r>
          </w:p>
        </w:tc>
        <w:tc>
          <w:tcPr>
            <w:tcW w:w="1439" w:type="dxa"/>
            <w:tcBorders>
              <w:top w:val="none" w:sz="0" w:space="0" w:color="auto"/>
              <w:bottom w:val="none" w:sz="0" w:space="0" w:color="auto"/>
              <w:right w:val="none" w:sz="0" w:space="0" w:color="auto"/>
            </w:tcBorders>
            <w:noWrap/>
            <w:hideMark/>
          </w:tcPr>
          <w:p w14:paraId="7DC76D72" w14:textId="77777777" w:rsidR="000054F7" w:rsidRPr="00EF40BA" w:rsidRDefault="000054F7" w:rsidP="00A25ECD">
            <w:pPr>
              <w:jc w:val="center"/>
              <w:cnfStyle w:val="000000100000" w:firstRow="0" w:lastRow="0" w:firstColumn="0" w:lastColumn="0" w:oddVBand="0" w:evenVBand="0" w:oddHBand="1" w:evenHBand="0" w:firstRowFirstColumn="0" w:firstRowLastColumn="0" w:lastRowFirstColumn="0" w:lastRowLastColumn="0"/>
            </w:pPr>
            <w:r>
              <w:t>3</w:t>
            </w:r>
            <w:r w:rsidRPr="00EF40BA">
              <w:t>%</w:t>
            </w:r>
          </w:p>
        </w:tc>
      </w:tr>
      <w:tr w:rsidR="000054F7" w:rsidRPr="00EF40BA" w14:paraId="58DF4CFE" w14:textId="77777777" w:rsidTr="000054F7">
        <w:trPr>
          <w:trHeight w:val="300"/>
          <w:jc w:val="center"/>
        </w:trPr>
        <w:tc>
          <w:tcPr>
            <w:cnfStyle w:val="001000000000" w:firstRow="0" w:lastRow="0" w:firstColumn="1" w:lastColumn="0" w:oddVBand="0" w:evenVBand="0" w:oddHBand="0" w:evenHBand="0" w:firstRowFirstColumn="0" w:firstRowLastColumn="0" w:lastRowFirstColumn="0" w:lastRowLastColumn="0"/>
            <w:tcW w:w="1287" w:type="dxa"/>
            <w:noWrap/>
            <w:hideMark/>
          </w:tcPr>
          <w:p w14:paraId="3BDED97D" w14:textId="77777777" w:rsidR="000054F7" w:rsidRPr="00EF40BA" w:rsidRDefault="000054F7" w:rsidP="00A25ECD">
            <w:pPr>
              <w:jc w:val="center"/>
            </w:pPr>
            <w:r w:rsidRPr="00EF40BA">
              <w:t>-20</w:t>
            </w:r>
          </w:p>
        </w:tc>
        <w:tc>
          <w:tcPr>
            <w:tcW w:w="1200" w:type="dxa"/>
            <w:noWrap/>
            <w:hideMark/>
          </w:tcPr>
          <w:p w14:paraId="6F4A6647" w14:textId="77777777" w:rsidR="000054F7" w:rsidRPr="00EF40BA" w:rsidRDefault="000054F7" w:rsidP="00A25ECD">
            <w:pPr>
              <w:jc w:val="center"/>
              <w:cnfStyle w:val="000000000000" w:firstRow="0" w:lastRow="0" w:firstColumn="0" w:lastColumn="0" w:oddVBand="0" w:evenVBand="0" w:oddHBand="0" w:evenHBand="0" w:firstRowFirstColumn="0" w:firstRowLastColumn="0" w:lastRowFirstColumn="0" w:lastRowLastColumn="0"/>
            </w:pPr>
            <w:r w:rsidRPr="00EF40BA">
              <w:t>3</w:t>
            </w:r>
          </w:p>
        </w:tc>
        <w:tc>
          <w:tcPr>
            <w:tcW w:w="1439" w:type="dxa"/>
            <w:noWrap/>
            <w:hideMark/>
          </w:tcPr>
          <w:p w14:paraId="144291C7" w14:textId="77777777" w:rsidR="000054F7" w:rsidRPr="00EF40BA" w:rsidRDefault="000054F7" w:rsidP="00A25ECD">
            <w:pPr>
              <w:jc w:val="center"/>
              <w:cnfStyle w:val="000000000000" w:firstRow="0" w:lastRow="0" w:firstColumn="0" w:lastColumn="0" w:oddVBand="0" w:evenVBand="0" w:oddHBand="0" w:evenHBand="0" w:firstRowFirstColumn="0" w:firstRowLastColumn="0" w:lastRowFirstColumn="0" w:lastRowLastColumn="0"/>
            </w:pPr>
            <w:r w:rsidRPr="00EF40BA">
              <w:t>3%</w:t>
            </w:r>
          </w:p>
        </w:tc>
      </w:tr>
      <w:tr w:rsidR="000054F7" w:rsidRPr="00EF40BA" w14:paraId="3F0077AE" w14:textId="77777777" w:rsidTr="000054F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87" w:type="dxa"/>
            <w:tcBorders>
              <w:top w:val="none" w:sz="0" w:space="0" w:color="auto"/>
              <w:left w:val="none" w:sz="0" w:space="0" w:color="auto"/>
              <w:bottom w:val="none" w:sz="0" w:space="0" w:color="auto"/>
            </w:tcBorders>
            <w:noWrap/>
            <w:hideMark/>
          </w:tcPr>
          <w:p w14:paraId="099993FA" w14:textId="77777777" w:rsidR="000054F7" w:rsidRPr="00EF40BA" w:rsidRDefault="000054F7" w:rsidP="00A25ECD">
            <w:pPr>
              <w:jc w:val="center"/>
            </w:pPr>
            <w:r w:rsidRPr="00EF40BA">
              <w:t>-30</w:t>
            </w:r>
          </w:p>
        </w:tc>
        <w:tc>
          <w:tcPr>
            <w:tcW w:w="1200" w:type="dxa"/>
            <w:tcBorders>
              <w:top w:val="none" w:sz="0" w:space="0" w:color="auto"/>
              <w:bottom w:val="none" w:sz="0" w:space="0" w:color="auto"/>
            </w:tcBorders>
            <w:noWrap/>
            <w:hideMark/>
          </w:tcPr>
          <w:p w14:paraId="63CEA048" w14:textId="77777777" w:rsidR="000054F7" w:rsidRPr="00EF40BA" w:rsidRDefault="000054F7" w:rsidP="00A25ECD">
            <w:pPr>
              <w:jc w:val="center"/>
              <w:cnfStyle w:val="000000100000" w:firstRow="0" w:lastRow="0" w:firstColumn="0" w:lastColumn="0" w:oddVBand="0" w:evenVBand="0" w:oddHBand="1" w:evenHBand="0" w:firstRowFirstColumn="0" w:firstRowLastColumn="0" w:lastRowFirstColumn="0" w:lastRowLastColumn="0"/>
            </w:pPr>
            <w:r w:rsidRPr="00EF40BA">
              <w:t>1</w:t>
            </w:r>
          </w:p>
        </w:tc>
        <w:tc>
          <w:tcPr>
            <w:tcW w:w="1439" w:type="dxa"/>
            <w:tcBorders>
              <w:top w:val="none" w:sz="0" w:space="0" w:color="auto"/>
              <w:bottom w:val="none" w:sz="0" w:space="0" w:color="auto"/>
              <w:right w:val="none" w:sz="0" w:space="0" w:color="auto"/>
            </w:tcBorders>
            <w:noWrap/>
            <w:hideMark/>
          </w:tcPr>
          <w:p w14:paraId="08E7C86B" w14:textId="77777777" w:rsidR="000054F7" w:rsidRPr="00EF40BA" w:rsidRDefault="000054F7" w:rsidP="00A25ECD">
            <w:pPr>
              <w:jc w:val="center"/>
              <w:cnfStyle w:val="000000100000" w:firstRow="0" w:lastRow="0" w:firstColumn="0" w:lastColumn="0" w:oddVBand="0" w:evenVBand="0" w:oddHBand="1" w:evenHBand="0" w:firstRowFirstColumn="0" w:firstRowLastColumn="0" w:lastRowFirstColumn="0" w:lastRowLastColumn="0"/>
            </w:pPr>
            <w:r w:rsidRPr="00EF40BA">
              <w:t>1%</w:t>
            </w:r>
          </w:p>
        </w:tc>
      </w:tr>
    </w:tbl>
    <w:p w14:paraId="3BC7309F" w14:textId="3EF7A543" w:rsidR="000054F7" w:rsidRDefault="000054F7" w:rsidP="000054F7">
      <w:pPr>
        <w:jc w:val="center"/>
        <w:rPr>
          <w:rFonts w:ascii="Sansa-Normal" w:eastAsia="Times New Roman" w:hAnsi="Sansa-Normal" w:cstheme="minorHAnsi"/>
          <w:iCs/>
          <w:sz w:val="24"/>
          <w:szCs w:val="24"/>
        </w:rPr>
      </w:pPr>
      <w:r>
        <w:rPr>
          <w:rFonts w:ascii="Sansa-Normal" w:eastAsia="Times New Roman" w:hAnsi="Sansa-Normal" w:cstheme="minorHAnsi"/>
          <w:iCs/>
          <w:sz w:val="24"/>
          <w:szCs w:val="24"/>
        </w:rPr>
        <w:t>Tabla 2</w:t>
      </w:r>
    </w:p>
    <w:p w14:paraId="75BF178E" w14:textId="6556A020" w:rsidR="000054F7" w:rsidRDefault="000054F7" w:rsidP="000054F7">
      <w:pPr>
        <w:jc w:val="both"/>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Después tendremos que crear otra tabla en donde podamos calcular los costos para cada una de los posibles escenarios en los que puede llegar el pedido, para cada caso se calcularán los costos de cada vez que se falló en la entrega del pedido; es decir, todos los valores que se encuentran debajo del número de piezas faltantes al momento de la entrega:</w:t>
      </w:r>
    </w:p>
    <w:p w14:paraId="4749E815" w14:textId="77777777" w:rsidR="000054F7" w:rsidRDefault="000054F7" w:rsidP="000054F7">
      <w:pPr>
        <w:jc w:val="both"/>
        <w:rPr>
          <w:rFonts w:ascii="Sansa-Normal" w:eastAsia="Times New Roman" w:hAnsi="Sansa-Normal" w:cstheme="minorHAnsi"/>
          <w:iCs/>
          <w:sz w:val="24"/>
          <w:szCs w:val="24"/>
        </w:rPr>
      </w:pPr>
    </w:p>
    <w:tbl>
      <w:tblPr>
        <w:tblStyle w:val="Listaclara-nfasis1"/>
        <w:tblW w:w="0" w:type="auto"/>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619"/>
        <w:gridCol w:w="1103"/>
      </w:tblGrid>
      <w:tr w:rsidR="000054F7" w:rsidRPr="00DB3754" w14:paraId="1BB87A2B" w14:textId="77777777" w:rsidTr="000054F7">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1352" w:type="dxa"/>
            <w:vMerge w:val="restart"/>
            <w:hideMark/>
          </w:tcPr>
          <w:p w14:paraId="5D183BB6" w14:textId="77777777" w:rsidR="000054F7" w:rsidRPr="00DB3754" w:rsidRDefault="000054F7" w:rsidP="00A25ECD">
            <w:pPr>
              <w:jc w:val="both"/>
            </w:pPr>
            <w:r>
              <w:t>Inv. d</w:t>
            </w:r>
            <w:r w:rsidRPr="00DB3754">
              <w:t>e Seg.</w:t>
            </w:r>
          </w:p>
        </w:tc>
        <w:tc>
          <w:tcPr>
            <w:tcW w:w="1619" w:type="dxa"/>
            <w:vMerge w:val="restart"/>
            <w:hideMark/>
          </w:tcPr>
          <w:p w14:paraId="05B799F9" w14:textId="77777777" w:rsidR="000054F7" w:rsidRPr="00DB3754" w:rsidRDefault="000054F7" w:rsidP="00A25ECD">
            <w:pPr>
              <w:jc w:val="both"/>
              <w:cnfStyle w:val="100000000000" w:firstRow="1" w:lastRow="0" w:firstColumn="0" w:lastColumn="0" w:oddVBand="0" w:evenVBand="0" w:oddHBand="0" w:evenHBand="0" w:firstRowFirstColumn="0" w:firstRowLastColumn="0" w:lastRowFirstColumn="0" w:lastRowLastColumn="0"/>
            </w:pPr>
            <w:r>
              <w:t>Prob. d</w:t>
            </w:r>
            <w:r w:rsidRPr="00DB3754">
              <w:t>e Falla</w:t>
            </w:r>
          </w:p>
        </w:tc>
        <w:tc>
          <w:tcPr>
            <w:tcW w:w="1103" w:type="dxa"/>
            <w:vMerge w:val="restart"/>
            <w:hideMark/>
          </w:tcPr>
          <w:p w14:paraId="6F9AABAA" w14:textId="77777777" w:rsidR="000054F7" w:rsidRPr="00DB3754" w:rsidRDefault="000054F7" w:rsidP="00A25ECD">
            <w:pPr>
              <w:jc w:val="both"/>
              <w:cnfStyle w:val="100000000000" w:firstRow="1" w:lastRow="0" w:firstColumn="0" w:lastColumn="0" w:oddVBand="0" w:evenVBand="0" w:oddHBand="0" w:evenHBand="0" w:firstRowFirstColumn="0" w:firstRowLastColumn="0" w:lastRowFirstColumn="0" w:lastRowLastColumn="0"/>
            </w:pPr>
            <w:r w:rsidRPr="00DB3754">
              <w:t>Piezas faltantes</w:t>
            </w:r>
          </w:p>
        </w:tc>
      </w:tr>
      <w:tr w:rsidR="000054F7" w:rsidRPr="00DB3754" w14:paraId="0D1A64E1" w14:textId="77777777" w:rsidTr="000054F7">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1352" w:type="dxa"/>
            <w:vMerge/>
            <w:tcBorders>
              <w:top w:val="none" w:sz="0" w:space="0" w:color="auto"/>
              <w:left w:val="none" w:sz="0" w:space="0" w:color="auto"/>
              <w:bottom w:val="none" w:sz="0" w:space="0" w:color="auto"/>
            </w:tcBorders>
            <w:hideMark/>
          </w:tcPr>
          <w:p w14:paraId="0F337C32" w14:textId="77777777" w:rsidR="000054F7" w:rsidRPr="00DB3754" w:rsidRDefault="000054F7" w:rsidP="00A25ECD">
            <w:pPr>
              <w:jc w:val="both"/>
            </w:pPr>
          </w:p>
        </w:tc>
        <w:tc>
          <w:tcPr>
            <w:tcW w:w="1619" w:type="dxa"/>
            <w:vMerge/>
            <w:tcBorders>
              <w:top w:val="none" w:sz="0" w:space="0" w:color="auto"/>
              <w:bottom w:val="none" w:sz="0" w:space="0" w:color="auto"/>
            </w:tcBorders>
            <w:hideMark/>
          </w:tcPr>
          <w:p w14:paraId="453042F6" w14:textId="77777777" w:rsidR="000054F7" w:rsidRPr="00DB3754" w:rsidRDefault="000054F7" w:rsidP="00A25ECD">
            <w:pPr>
              <w:jc w:val="both"/>
              <w:cnfStyle w:val="000000100000" w:firstRow="0" w:lastRow="0" w:firstColumn="0" w:lastColumn="0" w:oddVBand="0" w:evenVBand="0" w:oddHBand="1" w:evenHBand="0" w:firstRowFirstColumn="0" w:firstRowLastColumn="0" w:lastRowFirstColumn="0" w:lastRowLastColumn="0"/>
            </w:pPr>
          </w:p>
        </w:tc>
        <w:tc>
          <w:tcPr>
            <w:tcW w:w="1103" w:type="dxa"/>
            <w:vMerge/>
            <w:tcBorders>
              <w:top w:val="none" w:sz="0" w:space="0" w:color="auto"/>
              <w:bottom w:val="none" w:sz="0" w:space="0" w:color="auto"/>
              <w:right w:val="none" w:sz="0" w:space="0" w:color="auto"/>
            </w:tcBorders>
            <w:hideMark/>
          </w:tcPr>
          <w:p w14:paraId="6785A511" w14:textId="77777777" w:rsidR="000054F7" w:rsidRPr="00DB3754" w:rsidRDefault="000054F7" w:rsidP="00A25ECD">
            <w:pPr>
              <w:jc w:val="both"/>
              <w:cnfStyle w:val="000000100000" w:firstRow="0" w:lastRow="0" w:firstColumn="0" w:lastColumn="0" w:oddVBand="0" w:evenVBand="0" w:oddHBand="1" w:evenHBand="0" w:firstRowFirstColumn="0" w:firstRowLastColumn="0" w:lastRowFirstColumn="0" w:lastRowLastColumn="0"/>
            </w:pPr>
          </w:p>
        </w:tc>
      </w:tr>
      <w:tr w:rsidR="000054F7" w:rsidRPr="00DB3754" w14:paraId="78939839" w14:textId="77777777" w:rsidTr="000054F7">
        <w:trPr>
          <w:trHeight w:val="300"/>
          <w:jc w:val="center"/>
        </w:trPr>
        <w:tc>
          <w:tcPr>
            <w:cnfStyle w:val="001000000000" w:firstRow="0" w:lastRow="0" w:firstColumn="1" w:lastColumn="0" w:oddVBand="0" w:evenVBand="0" w:oddHBand="0" w:evenHBand="0" w:firstRowFirstColumn="0" w:firstRowLastColumn="0" w:lastRowFirstColumn="0" w:lastRowLastColumn="0"/>
            <w:tcW w:w="1352" w:type="dxa"/>
            <w:vMerge w:val="restart"/>
            <w:noWrap/>
            <w:hideMark/>
          </w:tcPr>
          <w:p w14:paraId="489CCE33" w14:textId="77777777" w:rsidR="000054F7" w:rsidRPr="00DB3754" w:rsidRDefault="000054F7" w:rsidP="00A25ECD">
            <w:pPr>
              <w:jc w:val="both"/>
            </w:pPr>
            <w:r w:rsidRPr="00DB3754">
              <w:t>0</w:t>
            </w:r>
          </w:p>
        </w:tc>
        <w:tc>
          <w:tcPr>
            <w:tcW w:w="1619" w:type="dxa"/>
            <w:noWrap/>
            <w:hideMark/>
          </w:tcPr>
          <w:p w14:paraId="429F58CA" w14:textId="77777777" w:rsidR="000054F7" w:rsidRPr="00DB3754" w:rsidRDefault="000054F7" w:rsidP="00A25ECD">
            <w:pPr>
              <w:jc w:val="both"/>
              <w:cnfStyle w:val="000000000000" w:firstRow="0" w:lastRow="0" w:firstColumn="0" w:lastColumn="0" w:oddVBand="0" w:evenVBand="0" w:oddHBand="0" w:evenHBand="0" w:firstRowFirstColumn="0" w:firstRowLastColumn="0" w:lastRowFirstColumn="0" w:lastRowLastColumn="0"/>
            </w:pPr>
            <w:r w:rsidRPr="00DB3754">
              <w:t>3%</w:t>
            </w:r>
          </w:p>
        </w:tc>
        <w:tc>
          <w:tcPr>
            <w:tcW w:w="1103" w:type="dxa"/>
            <w:noWrap/>
            <w:hideMark/>
          </w:tcPr>
          <w:p w14:paraId="761E0430" w14:textId="77777777" w:rsidR="000054F7" w:rsidRPr="00DB3754" w:rsidRDefault="000054F7" w:rsidP="00A25ECD">
            <w:pPr>
              <w:jc w:val="both"/>
              <w:cnfStyle w:val="000000000000" w:firstRow="0" w:lastRow="0" w:firstColumn="0" w:lastColumn="0" w:oddVBand="0" w:evenVBand="0" w:oddHBand="0" w:evenHBand="0" w:firstRowFirstColumn="0" w:firstRowLastColumn="0" w:lastRowFirstColumn="0" w:lastRowLastColumn="0"/>
            </w:pPr>
            <w:r w:rsidRPr="00DB3754">
              <w:t>10</w:t>
            </w:r>
          </w:p>
        </w:tc>
      </w:tr>
      <w:tr w:rsidR="000054F7" w:rsidRPr="00DB3754" w14:paraId="2AD3586E" w14:textId="77777777" w:rsidTr="000054F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2" w:type="dxa"/>
            <w:vMerge/>
            <w:tcBorders>
              <w:top w:val="none" w:sz="0" w:space="0" w:color="auto"/>
              <w:left w:val="none" w:sz="0" w:space="0" w:color="auto"/>
              <w:bottom w:val="none" w:sz="0" w:space="0" w:color="auto"/>
            </w:tcBorders>
            <w:hideMark/>
          </w:tcPr>
          <w:p w14:paraId="5143CD66" w14:textId="77777777" w:rsidR="000054F7" w:rsidRPr="00DB3754" w:rsidRDefault="000054F7" w:rsidP="00A25ECD">
            <w:pPr>
              <w:jc w:val="both"/>
            </w:pPr>
          </w:p>
        </w:tc>
        <w:tc>
          <w:tcPr>
            <w:tcW w:w="1619" w:type="dxa"/>
            <w:tcBorders>
              <w:top w:val="none" w:sz="0" w:space="0" w:color="auto"/>
              <w:bottom w:val="none" w:sz="0" w:space="0" w:color="auto"/>
            </w:tcBorders>
            <w:noWrap/>
            <w:hideMark/>
          </w:tcPr>
          <w:p w14:paraId="312BA449" w14:textId="77777777" w:rsidR="000054F7" w:rsidRPr="00DB3754" w:rsidRDefault="000054F7" w:rsidP="00A25ECD">
            <w:pPr>
              <w:jc w:val="both"/>
              <w:cnfStyle w:val="000000100000" w:firstRow="0" w:lastRow="0" w:firstColumn="0" w:lastColumn="0" w:oddVBand="0" w:evenVBand="0" w:oddHBand="1" w:evenHBand="0" w:firstRowFirstColumn="0" w:firstRowLastColumn="0" w:lastRowFirstColumn="0" w:lastRowLastColumn="0"/>
            </w:pPr>
            <w:r w:rsidRPr="00DB3754">
              <w:t>3%</w:t>
            </w:r>
          </w:p>
        </w:tc>
        <w:tc>
          <w:tcPr>
            <w:tcW w:w="1103" w:type="dxa"/>
            <w:tcBorders>
              <w:top w:val="none" w:sz="0" w:space="0" w:color="auto"/>
              <w:bottom w:val="none" w:sz="0" w:space="0" w:color="auto"/>
              <w:right w:val="none" w:sz="0" w:space="0" w:color="auto"/>
            </w:tcBorders>
            <w:noWrap/>
            <w:hideMark/>
          </w:tcPr>
          <w:p w14:paraId="724A6360" w14:textId="77777777" w:rsidR="000054F7" w:rsidRPr="00DB3754" w:rsidRDefault="000054F7" w:rsidP="00A25ECD">
            <w:pPr>
              <w:jc w:val="both"/>
              <w:cnfStyle w:val="000000100000" w:firstRow="0" w:lastRow="0" w:firstColumn="0" w:lastColumn="0" w:oddVBand="0" w:evenVBand="0" w:oddHBand="1" w:evenHBand="0" w:firstRowFirstColumn="0" w:firstRowLastColumn="0" w:lastRowFirstColumn="0" w:lastRowLastColumn="0"/>
            </w:pPr>
            <w:r w:rsidRPr="00DB3754">
              <w:t>20</w:t>
            </w:r>
          </w:p>
        </w:tc>
      </w:tr>
      <w:tr w:rsidR="000054F7" w:rsidRPr="00DB3754" w14:paraId="3E18B31C" w14:textId="77777777" w:rsidTr="000054F7">
        <w:trPr>
          <w:trHeight w:val="300"/>
          <w:jc w:val="center"/>
        </w:trPr>
        <w:tc>
          <w:tcPr>
            <w:cnfStyle w:val="001000000000" w:firstRow="0" w:lastRow="0" w:firstColumn="1" w:lastColumn="0" w:oddVBand="0" w:evenVBand="0" w:oddHBand="0" w:evenHBand="0" w:firstRowFirstColumn="0" w:firstRowLastColumn="0" w:lastRowFirstColumn="0" w:lastRowLastColumn="0"/>
            <w:tcW w:w="1352" w:type="dxa"/>
            <w:vMerge/>
            <w:hideMark/>
          </w:tcPr>
          <w:p w14:paraId="08F445DC" w14:textId="77777777" w:rsidR="000054F7" w:rsidRPr="00DB3754" w:rsidRDefault="000054F7" w:rsidP="00A25ECD">
            <w:pPr>
              <w:jc w:val="both"/>
            </w:pPr>
          </w:p>
        </w:tc>
        <w:tc>
          <w:tcPr>
            <w:tcW w:w="1619" w:type="dxa"/>
            <w:noWrap/>
            <w:hideMark/>
          </w:tcPr>
          <w:p w14:paraId="1E28D0DB" w14:textId="77777777" w:rsidR="000054F7" w:rsidRPr="00DB3754" w:rsidRDefault="000054F7" w:rsidP="00A25ECD">
            <w:pPr>
              <w:jc w:val="both"/>
              <w:cnfStyle w:val="000000000000" w:firstRow="0" w:lastRow="0" w:firstColumn="0" w:lastColumn="0" w:oddVBand="0" w:evenVBand="0" w:oddHBand="0" w:evenHBand="0" w:firstRowFirstColumn="0" w:firstRowLastColumn="0" w:lastRowFirstColumn="0" w:lastRowLastColumn="0"/>
            </w:pPr>
            <w:r w:rsidRPr="00DB3754">
              <w:t>1%</w:t>
            </w:r>
          </w:p>
        </w:tc>
        <w:tc>
          <w:tcPr>
            <w:tcW w:w="1103" w:type="dxa"/>
            <w:noWrap/>
            <w:hideMark/>
          </w:tcPr>
          <w:p w14:paraId="1EE1236C" w14:textId="77777777" w:rsidR="000054F7" w:rsidRPr="00DB3754" w:rsidRDefault="000054F7" w:rsidP="00A25ECD">
            <w:pPr>
              <w:jc w:val="both"/>
              <w:cnfStyle w:val="000000000000" w:firstRow="0" w:lastRow="0" w:firstColumn="0" w:lastColumn="0" w:oddVBand="0" w:evenVBand="0" w:oddHBand="0" w:evenHBand="0" w:firstRowFirstColumn="0" w:firstRowLastColumn="0" w:lastRowFirstColumn="0" w:lastRowLastColumn="0"/>
            </w:pPr>
            <w:r w:rsidRPr="00DB3754">
              <w:t>30</w:t>
            </w:r>
          </w:p>
        </w:tc>
      </w:tr>
      <w:tr w:rsidR="000054F7" w:rsidRPr="00DB3754" w14:paraId="20FF3860" w14:textId="77777777" w:rsidTr="000054F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2" w:type="dxa"/>
            <w:vMerge w:val="restart"/>
            <w:tcBorders>
              <w:top w:val="none" w:sz="0" w:space="0" w:color="auto"/>
              <w:left w:val="none" w:sz="0" w:space="0" w:color="auto"/>
              <w:bottom w:val="none" w:sz="0" w:space="0" w:color="auto"/>
            </w:tcBorders>
            <w:noWrap/>
            <w:hideMark/>
          </w:tcPr>
          <w:p w14:paraId="549C20F2" w14:textId="77777777" w:rsidR="000054F7" w:rsidRPr="00DB3754" w:rsidRDefault="000054F7" w:rsidP="00A25ECD">
            <w:pPr>
              <w:jc w:val="both"/>
            </w:pPr>
            <w:r w:rsidRPr="00DB3754">
              <w:t>10</w:t>
            </w:r>
          </w:p>
        </w:tc>
        <w:tc>
          <w:tcPr>
            <w:tcW w:w="1619" w:type="dxa"/>
            <w:tcBorders>
              <w:top w:val="none" w:sz="0" w:space="0" w:color="auto"/>
              <w:bottom w:val="none" w:sz="0" w:space="0" w:color="auto"/>
            </w:tcBorders>
            <w:noWrap/>
            <w:hideMark/>
          </w:tcPr>
          <w:p w14:paraId="04A8D3B6" w14:textId="77777777" w:rsidR="000054F7" w:rsidRPr="00DB3754" w:rsidRDefault="000054F7" w:rsidP="00A25ECD">
            <w:pPr>
              <w:jc w:val="both"/>
              <w:cnfStyle w:val="000000100000" w:firstRow="0" w:lastRow="0" w:firstColumn="0" w:lastColumn="0" w:oddVBand="0" w:evenVBand="0" w:oddHBand="1" w:evenHBand="0" w:firstRowFirstColumn="0" w:firstRowLastColumn="0" w:lastRowFirstColumn="0" w:lastRowLastColumn="0"/>
            </w:pPr>
            <w:r w:rsidRPr="00DB3754">
              <w:t>3%</w:t>
            </w:r>
          </w:p>
        </w:tc>
        <w:tc>
          <w:tcPr>
            <w:tcW w:w="1103" w:type="dxa"/>
            <w:tcBorders>
              <w:top w:val="none" w:sz="0" w:space="0" w:color="auto"/>
              <w:bottom w:val="none" w:sz="0" w:space="0" w:color="auto"/>
              <w:right w:val="none" w:sz="0" w:space="0" w:color="auto"/>
            </w:tcBorders>
            <w:noWrap/>
            <w:hideMark/>
          </w:tcPr>
          <w:p w14:paraId="5BCEA0E4" w14:textId="77777777" w:rsidR="000054F7" w:rsidRPr="00DB3754" w:rsidRDefault="000054F7" w:rsidP="00A25ECD">
            <w:pPr>
              <w:jc w:val="both"/>
              <w:cnfStyle w:val="000000100000" w:firstRow="0" w:lastRow="0" w:firstColumn="0" w:lastColumn="0" w:oddVBand="0" w:evenVBand="0" w:oddHBand="1" w:evenHBand="0" w:firstRowFirstColumn="0" w:firstRowLastColumn="0" w:lastRowFirstColumn="0" w:lastRowLastColumn="0"/>
            </w:pPr>
            <w:r w:rsidRPr="00DB3754">
              <w:t>10</w:t>
            </w:r>
          </w:p>
        </w:tc>
      </w:tr>
      <w:tr w:rsidR="000054F7" w:rsidRPr="00DB3754" w14:paraId="7A7F4D59" w14:textId="77777777" w:rsidTr="000054F7">
        <w:trPr>
          <w:trHeight w:val="300"/>
          <w:jc w:val="center"/>
        </w:trPr>
        <w:tc>
          <w:tcPr>
            <w:cnfStyle w:val="001000000000" w:firstRow="0" w:lastRow="0" w:firstColumn="1" w:lastColumn="0" w:oddVBand="0" w:evenVBand="0" w:oddHBand="0" w:evenHBand="0" w:firstRowFirstColumn="0" w:firstRowLastColumn="0" w:lastRowFirstColumn="0" w:lastRowLastColumn="0"/>
            <w:tcW w:w="1352" w:type="dxa"/>
            <w:vMerge/>
            <w:hideMark/>
          </w:tcPr>
          <w:p w14:paraId="7A2283C7" w14:textId="77777777" w:rsidR="000054F7" w:rsidRPr="00DB3754" w:rsidRDefault="000054F7" w:rsidP="00A25ECD">
            <w:pPr>
              <w:jc w:val="both"/>
            </w:pPr>
          </w:p>
        </w:tc>
        <w:tc>
          <w:tcPr>
            <w:tcW w:w="1619" w:type="dxa"/>
            <w:noWrap/>
            <w:hideMark/>
          </w:tcPr>
          <w:p w14:paraId="19265F62" w14:textId="77777777" w:rsidR="000054F7" w:rsidRPr="00DB3754" w:rsidRDefault="000054F7" w:rsidP="00A25ECD">
            <w:pPr>
              <w:jc w:val="both"/>
              <w:cnfStyle w:val="000000000000" w:firstRow="0" w:lastRow="0" w:firstColumn="0" w:lastColumn="0" w:oddVBand="0" w:evenVBand="0" w:oddHBand="0" w:evenHBand="0" w:firstRowFirstColumn="0" w:firstRowLastColumn="0" w:lastRowFirstColumn="0" w:lastRowLastColumn="0"/>
            </w:pPr>
            <w:r w:rsidRPr="00DB3754">
              <w:t>1%</w:t>
            </w:r>
          </w:p>
        </w:tc>
        <w:tc>
          <w:tcPr>
            <w:tcW w:w="1103" w:type="dxa"/>
            <w:noWrap/>
            <w:hideMark/>
          </w:tcPr>
          <w:p w14:paraId="7025F044" w14:textId="77777777" w:rsidR="000054F7" w:rsidRPr="00DB3754" w:rsidRDefault="000054F7" w:rsidP="00A25ECD">
            <w:pPr>
              <w:jc w:val="both"/>
              <w:cnfStyle w:val="000000000000" w:firstRow="0" w:lastRow="0" w:firstColumn="0" w:lastColumn="0" w:oddVBand="0" w:evenVBand="0" w:oddHBand="0" w:evenHBand="0" w:firstRowFirstColumn="0" w:firstRowLastColumn="0" w:lastRowFirstColumn="0" w:lastRowLastColumn="0"/>
            </w:pPr>
            <w:r w:rsidRPr="00DB3754">
              <w:t>20</w:t>
            </w:r>
          </w:p>
        </w:tc>
      </w:tr>
      <w:tr w:rsidR="000054F7" w:rsidRPr="00DB3754" w14:paraId="663346A1" w14:textId="77777777" w:rsidTr="000054F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2" w:type="dxa"/>
            <w:tcBorders>
              <w:top w:val="none" w:sz="0" w:space="0" w:color="auto"/>
              <w:left w:val="none" w:sz="0" w:space="0" w:color="auto"/>
              <w:bottom w:val="none" w:sz="0" w:space="0" w:color="auto"/>
            </w:tcBorders>
            <w:noWrap/>
            <w:hideMark/>
          </w:tcPr>
          <w:p w14:paraId="00C737DC" w14:textId="77777777" w:rsidR="000054F7" w:rsidRPr="00DB3754" w:rsidRDefault="000054F7" w:rsidP="00A25ECD">
            <w:pPr>
              <w:jc w:val="both"/>
            </w:pPr>
            <w:r w:rsidRPr="00DB3754">
              <w:t>20</w:t>
            </w:r>
          </w:p>
        </w:tc>
        <w:tc>
          <w:tcPr>
            <w:tcW w:w="1619" w:type="dxa"/>
            <w:tcBorders>
              <w:top w:val="none" w:sz="0" w:space="0" w:color="auto"/>
              <w:bottom w:val="none" w:sz="0" w:space="0" w:color="auto"/>
            </w:tcBorders>
            <w:noWrap/>
            <w:hideMark/>
          </w:tcPr>
          <w:p w14:paraId="75B6B561" w14:textId="77777777" w:rsidR="000054F7" w:rsidRPr="00DB3754" w:rsidRDefault="000054F7" w:rsidP="00A25ECD">
            <w:pPr>
              <w:jc w:val="both"/>
              <w:cnfStyle w:val="000000100000" w:firstRow="0" w:lastRow="0" w:firstColumn="0" w:lastColumn="0" w:oddVBand="0" w:evenVBand="0" w:oddHBand="1" w:evenHBand="0" w:firstRowFirstColumn="0" w:firstRowLastColumn="0" w:lastRowFirstColumn="0" w:lastRowLastColumn="0"/>
            </w:pPr>
            <w:r w:rsidRPr="00DB3754">
              <w:t>1%</w:t>
            </w:r>
          </w:p>
        </w:tc>
        <w:tc>
          <w:tcPr>
            <w:tcW w:w="1103" w:type="dxa"/>
            <w:tcBorders>
              <w:top w:val="none" w:sz="0" w:space="0" w:color="auto"/>
              <w:bottom w:val="none" w:sz="0" w:space="0" w:color="auto"/>
              <w:right w:val="none" w:sz="0" w:space="0" w:color="auto"/>
            </w:tcBorders>
            <w:noWrap/>
            <w:hideMark/>
          </w:tcPr>
          <w:p w14:paraId="7D594EDC" w14:textId="77777777" w:rsidR="000054F7" w:rsidRPr="00DB3754" w:rsidRDefault="000054F7" w:rsidP="00A25ECD">
            <w:pPr>
              <w:jc w:val="both"/>
              <w:cnfStyle w:val="000000100000" w:firstRow="0" w:lastRow="0" w:firstColumn="0" w:lastColumn="0" w:oddVBand="0" w:evenVBand="0" w:oddHBand="1" w:evenHBand="0" w:firstRowFirstColumn="0" w:firstRowLastColumn="0" w:lastRowFirstColumn="0" w:lastRowLastColumn="0"/>
            </w:pPr>
            <w:r w:rsidRPr="00DB3754">
              <w:t>10</w:t>
            </w:r>
          </w:p>
        </w:tc>
      </w:tr>
      <w:tr w:rsidR="000054F7" w:rsidRPr="00DB3754" w14:paraId="751E2620" w14:textId="77777777" w:rsidTr="000054F7">
        <w:trPr>
          <w:trHeight w:val="300"/>
          <w:jc w:val="center"/>
        </w:trPr>
        <w:tc>
          <w:tcPr>
            <w:cnfStyle w:val="001000000000" w:firstRow="0" w:lastRow="0" w:firstColumn="1" w:lastColumn="0" w:oddVBand="0" w:evenVBand="0" w:oddHBand="0" w:evenHBand="0" w:firstRowFirstColumn="0" w:firstRowLastColumn="0" w:lastRowFirstColumn="0" w:lastRowLastColumn="0"/>
            <w:tcW w:w="1352" w:type="dxa"/>
            <w:noWrap/>
            <w:hideMark/>
          </w:tcPr>
          <w:p w14:paraId="5829804E" w14:textId="77777777" w:rsidR="000054F7" w:rsidRPr="00DB3754" w:rsidRDefault="000054F7" w:rsidP="00A25ECD">
            <w:pPr>
              <w:jc w:val="both"/>
            </w:pPr>
            <w:r w:rsidRPr="00DB3754">
              <w:t>30</w:t>
            </w:r>
          </w:p>
        </w:tc>
        <w:tc>
          <w:tcPr>
            <w:tcW w:w="1619" w:type="dxa"/>
            <w:noWrap/>
            <w:hideMark/>
          </w:tcPr>
          <w:p w14:paraId="4B2C06CE" w14:textId="77777777" w:rsidR="000054F7" w:rsidRPr="00DB3754" w:rsidRDefault="000054F7" w:rsidP="00A25ECD">
            <w:pPr>
              <w:jc w:val="both"/>
              <w:cnfStyle w:val="000000000000" w:firstRow="0" w:lastRow="0" w:firstColumn="0" w:lastColumn="0" w:oddVBand="0" w:evenVBand="0" w:oddHBand="0" w:evenHBand="0" w:firstRowFirstColumn="0" w:firstRowLastColumn="0" w:lastRowFirstColumn="0" w:lastRowLastColumn="0"/>
            </w:pPr>
            <w:r w:rsidRPr="00DB3754">
              <w:t>0%</w:t>
            </w:r>
          </w:p>
        </w:tc>
        <w:tc>
          <w:tcPr>
            <w:tcW w:w="1103" w:type="dxa"/>
            <w:noWrap/>
            <w:hideMark/>
          </w:tcPr>
          <w:p w14:paraId="730DD7D6" w14:textId="77777777" w:rsidR="000054F7" w:rsidRPr="00DB3754" w:rsidRDefault="000054F7" w:rsidP="00A25ECD">
            <w:pPr>
              <w:jc w:val="both"/>
              <w:cnfStyle w:val="000000000000" w:firstRow="0" w:lastRow="0" w:firstColumn="0" w:lastColumn="0" w:oddVBand="0" w:evenVBand="0" w:oddHBand="0" w:evenHBand="0" w:firstRowFirstColumn="0" w:firstRowLastColumn="0" w:lastRowFirstColumn="0" w:lastRowLastColumn="0"/>
            </w:pPr>
            <w:r w:rsidRPr="00DB3754">
              <w:t>0</w:t>
            </w:r>
          </w:p>
        </w:tc>
      </w:tr>
    </w:tbl>
    <w:p w14:paraId="79593C27" w14:textId="38BBD0C3" w:rsidR="000054F7" w:rsidRDefault="000054F7" w:rsidP="000054F7">
      <w:pPr>
        <w:jc w:val="center"/>
        <w:rPr>
          <w:rFonts w:ascii="Sansa-Normal" w:eastAsia="Times New Roman" w:hAnsi="Sansa-Normal" w:cstheme="minorHAnsi"/>
          <w:iCs/>
          <w:sz w:val="24"/>
          <w:szCs w:val="24"/>
        </w:rPr>
      </w:pPr>
      <w:r>
        <w:rPr>
          <w:rFonts w:ascii="Sansa-Normal" w:eastAsia="Times New Roman" w:hAnsi="Sansa-Normal" w:cstheme="minorHAnsi"/>
          <w:iCs/>
          <w:sz w:val="24"/>
          <w:szCs w:val="24"/>
        </w:rPr>
        <w:t>Tabla 3</w:t>
      </w:r>
    </w:p>
    <w:p w14:paraId="3C663995" w14:textId="77777777" w:rsidR="000054F7" w:rsidRDefault="000054F7" w:rsidP="000054F7">
      <w:pPr>
        <w:jc w:val="center"/>
        <w:rPr>
          <w:rFonts w:ascii="Sansa-Normal" w:eastAsia="Times New Roman" w:hAnsi="Sansa-Normal" w:cstheme="minorHAnsi"/>
          <w:iCs/>
          <w:sz w:val="24"/>
          <w:szCs w:val="24"/>
        </w:rPr>
      </w:pPr>
    </w:p>
    <w:p w14:paraId="14BB4CEF" w14:textId="77777777" w:rsidR="000054F7" w:rsidRDefault="000054F7" w:rsidP="000054F7">
      <w:pPr>
        <w:rPr>
          <w:rFonts w:ascii="Sansa-Normal" w:eastAsia="Times New Roman" w:hAnsi="Sansa-Normal" w:cstheme="minorHAnsi"/>
          <w:iCs/>
          <w:sz w:val="24"/>
          <w:szCs w:val="24"/>
        </w:rPr>
      </w:pPr>
    </w:p>
    <w:p w14:paraId="2126F45C" w14:textId="39ABD618" w:rsidR="000054F7" w:rsidRPr="000054F7" w:rsidRDefault="000054F7" w:rsidP="000054F7">
      <w:pPr>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Ahora debemos calcular dos costos para cada renglón: 1) El costo de las piezas faltantes, que se ca</w:t>
      </w:r>
      <w:r>
        <w:rPr>
          <w:rFonts w:ascii="Sansa-Normal" w:eastAsia="Times New Roman" w:hAnsi="Sansa-Normal" w:cstheme="minorHAnsi"/>
          <w:iCs/>
          <w:sz w:val="24"/>
          <w:szCs w:val="24"/>
        </w:rPr>
        <w:t>lcula con la siguiente fórmula:</w:t>
      </w:r>
    </w:p>
    <w:p w14:paraId="3890E1FC" w14:textId="306C4A10" w:rsidR="000054F7" w:rsidRPr="000054F7" w:rsidRDefault="000054F7" w:rsidP="000054F7">
      <w:pPr>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Costo de faltantes = Piezas faltantes * Prob.de falla * Co</w:t>
      </w:r>
      <w:r>
        <w:rPr>
          <w:rFonts w:ascii="Sansa-Normal" w:eastAsia="Times New Roman" w:hAnsi="Sansa-Normal" w:cstheme="minorHAnsi"/>
          <w:iCs/>
          <w:sz w:val="24"/>
          <w:szCs w:val="24"/>
        </w:rPr>
        <w:t>sto por pieza * Pedidos por año</w:t>
      </w:r>
    </w:p>
    <w:p w14:paraId="3E87DB30" w14:textId="5D115F1C" w:rsidR="000054F7" w:rsidRPr="000054F7" w:rsidRDefault="000054F7" w:rsidP="000054F7">
      <w:pPr>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 xml:space="preserve">Y 2) El costo de mantener cada pieza en el inventario, que se calcula con </w:t>
      </w:r>
      <w:r>
        <w:rPr>
          <w:rFonts w:ascii="Sansa-Normal" w:eastAsia="Times New Roman" w:hAnsi="Sansa-Normal" w:cstheme="minorHAnsi"/>
          <w:iCs/>
          <w:sz w:val="24"/>
          <w:szCs w:val="24"/>
        </w:rPr>
        <w:t>la siguiente fórmula:</w:t>
      </w:r>
    </w:p>
    <w:p w14:paraId="18449532" w14:textId="32B3E461" w:rsidR="000054F7" w:rsidRPr="000054F7" w:rsidRDefault="000054F7" w:rsidP="000054F7">
      <w:pPr>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Costo de almacén = Piezas en Inv. de Seguridad * Costo por pieza * Tasa de costo anual</w:t>
      </w:r>
    </w:p>
    <w:tbl>
      <w:tblPr>
        <w:tblStyle w:val="Listaclara-nfasis1"/>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200"/>
        <w:gridCol w:w="1260"/>
        <w:gridCol w:w="1260"/>
        <w:gridCol w:w="1200"/>
        <w:gridCol w:w="1224"/>
        <w:gridCol w:w="1442"/>
      </w:tblGrid>
      <w:tr w:rsidR="000054F7" w:rsidRPr="000054F7" w14:paraId="3B2F28EC" w14:textId="77777777" w:rsidTr="000054F7">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200" w:type="dxa"/>
            <w:vMerge w:val="restart"/>
            <w:hideMark/>
          </w:tcPr>
          <w:p w14:paraId="2FA343E1" w14:textId="77777777" w:rsidR="000054F7" w:rsidRPr="000054F7" w:rsidRDefault="000054F7" w:rsidP="00A25ECD">
            <w:pPr>
              <w:jc w:val="center"/>
              <w:rPr>
                <w:rFonts w:ascii="Sansa-Normal" w:eastAsia="Times New Roman" w:hAnsi="Sansa-Normal" w:cs="Times New Roman"/>
              </w:rPr>
            </w:pPr>
            <w:r w:rsidRPr="000054F7">
              <w:rPr>
                <w:rFonts w:ascii="Sansa-Normal" w:eastAsia="Times New Roman" w:hAnsi="Sansa-Normal" w:cs="Times New Roman"/>
              </w:rPr>
              <w:t>Inv. de Seg.</w:t>
            </w:r>
          </w:p>
        </w:tc>
        <w:tc>
          <w:tcPr>
            <w:tcW w:w="1200" w:type="dxa"/>
            <w:vMerge w:val="restart"/>
            <w:hideMark/>
          </w:tcPr>
          <w:p w14:paraId="256FDE04" w14:textId="77777777" w:rsidR="000054F7" w:rsidRPr="000054F7" w:rsidRDefault="000054F7" w:rsidP="00A25ECD">
            <w:pPr>
              <w:jc w:val="center"/>
              <w:cnfStyle w:val="100000000000" w:firstRow="1" w:lastRow="0" w:firstColumn="0" w:lastColumn="0" w:oddVBand="0" w:evenVBand="0" w:oddHBand="0" w:evenHBand="0" w:firstRowFirstColumn="0" w:firstRowLastColumn="0" w:lastRowFirstColumn="0" w:lastRowLastColumn="0"/>
              <w:rPr>
                <w:rFonts w:ascii="Sansa-Normal" w:eastAsia="Times New Roman" w:hAnsi="Sansa-Normal" w:cs="Times New Roman"/>
              </w:rPr>
            </w:pPr>
            <w:r w:rsidRPr="000054F7">
              <w:rPr>
                <w:rFonts w:ascii="Sansa-Normal" w:eastAsia="Times New Roman" w:hAnsi="Sansa-Normal" w:cs="Times New Roman"/>
              </w:rPr>
              <w:t>Prob. de Falla</w:t>
            </w:r>
          </w:p>
        </w:tc>
        <w:tc>
          <w:tcPr>
            <w:tcW w:w="1260" w:type="dxa"/>
            <w:vMerge w:val="restart"/>
            <w:hideMark/>
          </w:tcPr>
          <w:p w14:paraId="4FA4F9AC" w14:textId="77777777" w:rsidR="000054F7" w:rsidRPr="000054F7" w:rsidRDefault="000054F7" w:rsidP="00A25ECD">
            <w:pPr>
              <w:jc w:val="center"/>
              <w:cnfStyle w:val="100000000000" w:firstRow="1" w:lastRow="0" w:firstColumn="0" w:lastColumn="0" w:oddVBand="0" w:evenVBand="0" w:oddHBand="0" w:evenHBand="0" w:firstRowFirstColumn="0" w:firstRowLastColumn="0" w:lastRowFirstColumn="0" w:lastRowLastColumn="0"/>
              <w:rPr>
                <w:rFonts w:ascii="Sansa-Normal" w:eastAsia="Times New Roman" w:hAnsi="Sansa-Normal" w:cs="Times New Roman"/>
              </w:rPr>
            </w:pPr>
            <w:r w:rsidRPr="000054F7">
              <w:rPr>
                <w:rFonts w:ascii="Sansa-Normal" w:eastAsia="Times New Roman" w:hAnsi="Sansa-Normal" w:cs="Times New Roman"/>
              </w:rPr>
              <w:t>Piezas faltantes</w:t>
            </w:r>
          </w:p>
        </w:tc>
        <w:tc>
          <w:tcPr>
            <w:tcW w:w="1260" w:type="dxa"/>
            <w:vMerge w:val="restart"/>
            <w:hideMark/>
          </w:tcPr>
          <w:p w14:paraId="070B1A7F" w14:textId="77777777" w:rsidR="000054F7" w:rsidRPr="000054F7" w:rsidRDefault="000054F7" w:rsidP="00A25ECD">
            <w:pPr>
              <w:jc w:val="center"/>
              <w:cnfStyle w:val="100000000000" w:firstRow="1" w:lastRow="0" w:firstColumn="0" w:lastColumn="0" w:oddVBand="0" w:evenVBand="0" w:oddHBand="0" w:evenHBand="0" w:firstRowFirstColumn="0" w:firstRowLastColumn="0" w:lastRowFirstColumn="0" w:lastRowLastColumn="0"/>
              <w:rPr>
                <w:rFonts w:ascii="Sansa-Normal" w:eastAsia="Times New Roman" w:hAnsi="Sansa-Normal" w:cs="Times New Roman"/>
              </w:rPr>
            </w:pPr>
            <w:r w:rsidRPr="000054F7">
              <w:rPr>
                <w:rFonts w:ascii="Sansa-Normal" w:eastAsia="Times New Roman" w:hAnsi="Sansa-Normal" w:cs="Times New Roman"/>
              </w:rPr>
              <w:t>Costo de faltantes</w:t>
            </w:r>
          </w:p>
        </w:tc>
        <w:tc>
          <w:tcPr>
            <w:tcW w:w="1200" w:type="dxa"/>
            <w:vMerge w:val="restart"/>
            <w:hideMark/>
          </w:tcPr>
          <w:p w14:paraId="500439E6" w14:textId="77777777" w:rsidR="000054F7" w:rsidRPr="000054F7" w:rsidRDefault="000054F7" w:rsidP="00A25ECD">
            <w:pPr>
              <w:jc w:val="center"/>
              <w:cnfStyle w:val="100000000000" w:firstRow="1" w:lastRow="0" w:firstColumn="0" w:lastColumn="0" w:oddVBand="0" w:evenVBand="0" w:oddHBand="0" w:evenHBand="0" w:firstRowFirstColumn="0" w:firstRowLastColumn="0" w:lastRowFirstColumn="0" w:lastRowLastColumn="0"/>
              <w:rPr>
                <w:rFonts w:ascii="Sansa-Normal" w:eastAsia="Times New Roman" w:hAnsi="Sansa-Normal" w:cs="Times New Roman"/>
              </w:rPr>
            </w:pPr>
            <w:r w:rsidRPr="000054F7">
              <w:rPr>
                <w:rFonts w:ascii="Sansa-Normal" w:eastAsia="Times New Roman" w:hAnsi="Sansa-Normal" w:cs="Times New Roman"/>
              </w:rPr>
              <w:t>∑</w:t>
            </w:r>
          </w:p>
        </w:tc>
        <w:tc>
          <w:tcPr>
            <w:tcW w:w="1224" w:type="dxa"/>
            <w:vMerge w:val="restart"/>
            <w:hideMark/>
          </w:tcPr>
          <w:p w14:paraId="4D2E1C7F" w14:textId="77777777" w:rsidR="000054F7" w:rsidRPr="000054F7" w:rsidRDefault="000054F7" w:rsidP="00A25ECD">
            <w:pPr>
              <w:jc w:val="center"/>
              <w:cnfStyle w:val="100000000000" w:firstRow="1" w:lastRow="0" w:firstColumn="0" w:lastColumn="0" w:oddVBand="0" w:evenVBand="0" w:oddHBand="0" w:evenHBand="0" w:firstRowFirstColumn="0" w:firstRowLastColumn="0" w:lastRowFirstColumn="0" w:lastRowLastColumn="0"/>
              <w:rPr>
                <w:rFonts w:ascii="Sansa-Normal" w:eastAsia="Times New Roman" w:hAnsi="Sansa-Normal" w:cs="Times New Roman"/>
              </w:rPr>
            </w:pPr>
            <w:r w:rsidRPr="000054F7">
              <w:rPr>
                <w:rFonts w:ascii="Sansa-Normal" w:eastAsia="Times New Roman" w:hAnsi="Sansa-Normal" w:cs="Times New Roman"/>
              </w:rPr>
              <w:t>Costo de almacén</w:t>
            </w:r>
          </w:p>
        </w:tc>
        <w:tc>
          <w:tcPr>
            <w:tcW w:w="1442" w:type="dxa"/>
            <w:vMerge w:val="restart"/>
            <w:hideMark/>
          </w:tcPr>
          <w:p w14:paraId="7D081C35" w14:textId="77777777" w:rsidR="000054F7" w:rsidRPr="000054F7" w:rsidRDefault="000054F7" w:rsidP="00A25ECD">
            <w:pPr>
              <w:jc w:val="center"/>
              <w:cnfStyle w:val="100000000000" w:firstRow="1" w:lastRow="0" w:firstColumn="0" w:lastColumn="0" w:oddVBand="0" w:evenVBand="0" w:oddHBand="0" w:evenHBand="0" w:firstRowFirstColumn="0" w:firstRowLastColumn="0" w:lastRowFirstColumn="0" w:lastRowLastColumn="0"/>
              <w:rPr>
                <w:rFonts w:ascii="Sansa-Normal" w:eastAsia="Times New Roman" w:hAnsi="Sansa-Normal" w:cs="Times New Roman"/>
              </w:rPr>
            </w:pPr>
            <w:r w:rsidRPr="000054F7">
              <w:rPr>
                <w:rFonts w:ascii="Sansa-Normal" w:eastAsia="Times New Roman" w:hAnsi="Sansa-Normal" w:cs="Times New Roman"/>
              </w:rPr>
              <w:t>Costo total</w:t>
            </w:r>
          </w:p>
        </w:tc>
      </w:tr>
      <w:tr w:rsidR="000054F7" w:rsidRPr="000054F7" w14:paraId="5FB95A13" w14:textId="77777777" w:rsidTr="000054F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200" w:type="dxa"/>
            <w:vMerge/>
            <w:tcBorders>
              <w:top w:val="none" w:sz="0" w:space="0" w:color="auto"/>
              <w:left w:val="none" w:sz="0" w:space="0" w:color="auto"/>
              <w:bottom w:val="none" w:sz="0" w:space="0" w:color="auto"/>
            </w:tcBorders>
            <w:hideMark/>
          </w:tcPr>
          <w:p w14:paraId="1B41AF64" w14:textId="77777777" w:rsidR="000054F7" w:rsidRPr="000054F7" w:rsidRDefault="000054F7" w:rsidP="00A25ECD">
            <w:pPr>
              <w:jc w:val="center"/>
              <w:rPr>
                <w:rFonts w:ascii="Sansa-Normal" w:eastAsia="Times New Roman" w:hAnsi="Sansa-Normal" w:cs="Times New Roman"/>
                <w:color w:val="000000"/>
              </w:rPr>
            </w:pPr>
          </w:p>
        </w:tc>
        <w:tc>
          <w:tcPr>
            <w:tcW w:w="1200" w:type="dxa"/>
            <w:vMerge/>
            <w:tcBorders>
              <w:top w:val="none" w:sz="0" w:space="0" w:color="auto"/>
              <w:bottom w:val="none" w:sz="0" w:space="0" w:color="auto"/>
            </w:tcBorders>
            <w:hideMark/>
          </w:tcPr>
          <w:p w14:paraId="41F25802"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p>
        </w:tc>
        <w:tc>
          <w:tcPr>
            <w:tcW w:w="1260" w:type="dxa"/>
            <w:vMerge/>
            <w:tcBorders>
              <w:top w:val="none" w:sz="0" w:space="0" w:color="auto"/>
              <w:bottom w:val="none" w:sz="0" w:space="0" w:color="auto"/>
            </w:tcBorders>
            <w:hideMark/>
          </w:tcPr>
          <w:p w14:paraId="092725EA"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p>
        </w:tc>
        <w:tc>
          <w:tcPr>
            <w:tcW w:w="1260" w:type="dxa"/>
            <w:vMerge/>
            <w:tcBorders>
              <w:top w:val="none" w:sz="0" w:space="0" w:color="auto"/>
              <w:bottom w:val="none" w:sz="0" w:space="0" w:color="auto"/>
            </w:tcBorders>
            <w:hideMark/>
          </w:tcPr>
          <w:p w14:paraId="3DE625AD"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p>
        </w:tc>
        <w:tc>
          <w:tcPr>
            <w:tcW w:w="1200" w:type="dxa"/>
            <w:vMerge/>
            <w:tcBorders>
              <w:top w:val="none" w:sz="0" w:space="0" w:color="auto"/>
              <w:bottom w:val="none" w:sz="0" w:space="0" w:color="auto"/>
            </w:tcBorders>
            <w:hideMark/>
          </w:tcPr>
          <w:p w14:paraId="41402302"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p>
        </w:tc>
        <w:tc>
          <w:tcPr>
            <w:tcW w:w="1224" w:type="dxa"/>
            <w:vMerge/>
            <w:tcBorders>
              <w:top w:val="none" w:sz="0" w:space="0" w:color="auto"/>
              <w:bottom w:val="none" w:sz="0" w:space="0" w:color="auto"/>
            </w:tcBorders>
            <w:hideMark/>
          </w:tcPr>
          <w:p w14:paraId="548BD04D"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p>
        </w:tc>
        <w:tc>
          <w:tcPr>
            <w:tcW w:w="1442" w:type="dxa"/>
            <w:vMerge/>
            <w:tcBorders>
              <w:top w:val="none" w:sz="0" w:space="0" w:color="auto"/>
              <w:bottom w:val="none" w:sz="0" w:space="0" w:color="auto"/>
              <w:right w:val="none" w:sz="0" w:space="0" w:color="auto"/>
            </w:tcBorders>
            <w:hideMark/>
          </w:tcPr>
          <w:p w14:paraId="12C30C3E"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p>
        </w:tc>
      </w:tr>
      <w:tr w:rsidR="000054F7" w:rsidRPr="000054F7" w14:paraId="67E94438" w14:textId="77777777" w:rsidTr="000054F7">
        <w:trPr>
          <w:trHeight w:val="300"/>
        </w:trPr>
        <w:tc>
          <w:tcPr>
            <w:cnfStyle w:val="001000000000" w:firstRow="0" w:lastRow="0" w:firstColumn="1" w:lastColumn="0" w:oddVBand="0" w:evenVBand="0" w:oddHBand="0" w:evenHBand="0" w:firstRowFirstColumn="0" w:firstRowLastColumn="0" w:lastRowFirstColumn="0" w:lastRowLastColumn="0"/>
            <w:tcW w:w="1200" w:type="dxa"/>
            <w:vMerge w:val="restart"/>
            <w:noWrap/>
            <w:hideMark/>
          </w:tcPr>
          <w:p w14:paraId="64C1638A" w14:textId="77777777" w:rsidR="000054F7" w:rsidRPr="000054F7" w:rsidRDefault="000054F7" w:rsidP="00A25ECD">
            <w:pPr>
              <w:jc w:val="center"/>
              <w:rPr>
                <w:rFonts w:ascii="Sansa-Normal" w:eastAsia="Times New Roman" w:hAnsi="Sansa-Normal" w:cs="Times New Roman"/>
                <w:color w:val="000000"/>
              </w:rPr>
            </w:pPr>
            <w:r w:rsidRPr="000054F7">
              <w:rPr>
                <w:rFonts w:ascii="Sansa-Normal" w:eastAsia="Times New Roman" w:hAnsi="Sansa-Normal" w:cs="Times New Roman"/>
                <w:color w:val="000000"/>
              </w:rPr>
              <w:t>0</w:t>
            </w:r>
          </w:p>
        </w:tc>
        <w:tc>
          <w:tcPr>
            <w:tcW w:w="1200" w:type="dxa"/>
            <w:noWrap/>
            <w:hideMark/>
          </w:tcPr>
          <w:p w14:paraId="6A14A0C3"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3%</w:t>
            </w:r>
          </w:p>
        </w:tc>
        <w:tc>
          <w:tcPr>
            <w:tcW w:w="1260" w:type="dxa"/>
            <w:noWrap/>
            <w:hideMark/>
          </w:tcPr>
          <w:p w14:paraId="34684DCE"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10</w:t>
            </w:r>
          </w:p>
        </w:tc>
        <w:tc>
          <w:tcPr>
            <w:tcW w:w="1260" w:type="dxa"/>
            <w:noWrap/>
            <w:hideMark/>
          </w:tcPr>
          <w:p w14:paraId="207DA012"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1008</w:t>
            </w:r>
          </w:p>
        </w:tc>
        <w:tc>
          <w:tcPr>
            <w:tcW w:w="1200" w:type="dxa"/>
            <w:vMerge w:val="restart"/>
            <w:noWrap/>
            <w:hideMark/>
          </w:tcPr>
          <w:p w14:paraId="0E7289EA"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4032</w:t>
            </w:r>
          </w:p>
        </w:tc>
        <w:tc>
          <w:tcPr>
            <w:tcW w:w="1224" w:type="dxa"/>
            <w:noWrap/>
            <w:hideMark/>
          </w:tcPr>
          <w:p w14:paraId="5B219266"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0</w:t>
            </w:r>
          </w:p>
        </w:tc>
        <w:tc>
          <w:tcPr>
            <w:tcW w:w="1442" w:type="dxa"/>
            <w:vMerge w:val="restart"/>
            <w:noWrap/>
            <w:hideMark/>
          </w:tcPr>
          <w:p w14:paraId="31FA3C55"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    4,032.00</w:t>
            </w:r>
          </w:p>
        </w:tc>
      </w:tr>
      <w:tr w:rsidR="000054F7" w:rsidRPr="000054F7" w14:paraId="28C8E8A6" w14:textId="77777777" w:rsidTr="00005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vMerge/>
            <w:tcBorders>
              <w:top w:val="none" w:sz="0" w:space="0" w:color="auto"/>
              <w:left w:val="none" w:sz="0" w:space="0" w:color="auto"/>
              <w:bottom w:val="none" w:sz="0" w:space="0" w:color="auto"/>
            </w:tcBorders>
            <w:hideMark/>
          </w:tcPr>
          <w:p w14:paraId="7AEB1326" w14:textId="77777777" w:rsidR="000054F7" w:rsidRPr="000054F7" w:rsidRDefault="000054F7" w:rsidP="00A25ECD">
            <w:pPr>
              <w:jc w:val="center"/>
              <w:rPr>
                <w:rFonts w:ascii="Sansa-Normal" w:eastAsia="Times New Roman" w:hAnsi="Sansa-Normal" w:cs="Times New Roman"/>
                <w:color w:val="000000"/>
              </w:rPr>
            </w:pPr>
          </w:p>
        </w:tc>
        <w:tc>
          <w:tcPr>
            <w:tcW w:w="1200" w:type="dxa"/>
            <w:tcBorders>
              <w:top w:val="none" w:sz="0" w:space="0" w:color="auto"/>
              <w:bottom w:val="none" w:sz="0" w:space="0" w:color="auto"/>
            </w:tcBorders>
            <w:noWrap/>
            <w:hideMark/>
          </w:tcPr>
          <w:p w14:paraId="274A8DD8"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3%</w:t>
            </w:r>
          </w:p>
        </w:tc>
        <w:tc>
          <w:tcPr>
            <w:tcW w:w="1260" w:type="dxa"/>
            <w:tcBorders>
              <w:top w:val="none" w:sz="0" w:space="0" w:color="auto"/>
              <w:bottom w:val="none" w:sz="0" w:space="0" w:color="auto"/>
            </w:tcBorders>
            <w:noWrap/>
            <w:hideMark/>
          </w:tcPr>
          <w:p w14:paraId="723066D1"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20</w:t>
            </w:r>
          </w:p>
        </w:tc>
        <w:tc>
          <w:tcPr>
            <w:tcW w:w="1260" w:type="dxa"/>
            <w:tcBorders>
              <w:top w:val="none" w:sz="0" w:space="0" w:color="auto"/>
              <w:bottom w:val="none" w:sz="0" w:space="0" w:color="auto"/>
            </w:tcBorders>
            <w:noWrap/>
            <w:hideMark/>
          </w:tcPr>
          <w:p w14:paraId="45E5477A"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2016</w:t>
            </w:r>
          </w:p>
        </w:tc>
        <w:tc>
          <w:tcPr>
            <w:tcW w:w="1200" w:type="dxa"/>
            <w:vMerge/>
            <w:tcBorders>
              <w:top w:val="none" w:sz="0" w:space="0" w:color="auto"/>
              <w:bottom w:val="none" w:sz="0" w:space="0" w:color="auto"/>
            </w:tcBorders>
            <w:hideMark/>
          </w:tcPr>
          <w:p w14:paraId="07F3EE5D"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p>
        </w:tc>
        <w:tc>
          <w:tcPr>
            <w:tcW w:w="1224" w:type="dxa"/>
            <w:tcBorders>
              <w:top w:val="none" w:sz="0" w:space="0" w:color="auto"/>
              <w:bottom w:val="none" w:sz="0" w:space="0" w:color="auto"/>
            </w:tcBorders>
            <w:noWrap/>
            <w:hideMark/>
          </w:tcPr>
          <w:p w14:paraId="340C0D80"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0</w:t>
            </w:r>
          </w:p>
        </w:tc>
        <w:tc>
          <w:tcPr>
            <w:tcW w:w="1442" w:type="dxa"/>
            <w:vMerge/>
            <w:tcBorders>
              <w:top w:val="none" w:sz="0" w:space="0" w:color="auto"/>
              <w:bottom w:val="none" w:sz="0" w:space="0" w:color="auto"/>
              <w:right w:val="none" w:sz="0" w:space="0" w:color="auto"/>
            </w:tcBorders>
            <w:hideMark/>
          </w:tcPr>
          <w:p w14:paraId="4D6EA551"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p>
        </w:tc>
      </w:tr>
      <w:tr w:rsidR="000054F7" w:rsidRPr="000054F7" w14:paraId="127F81BA" w14:textId="77777777" w:rsidTr="000054F7">
        <w:trPr>
          <w:trHeight w:val="300"/>
        </w:trPr>
        <w:tc>
          <w:tcPr>
            <w:cnfStyle w:val="001000000000" w:firstRow="0" w:lastRow="0" w:firstColumn="1" w:lastColumn="0" w:oddVBand="0" w:evenVBand="0" w:oddHBand="0" w:evenHBand="0" w:firstRowFirstColumn="0" w:firstRowLastColumn="0" w:lastRowFirstColumn="0" w:lastRowLastColumn="0"/>
            <w:tcW w:w="1200" w:type="dxa"/>
            <w:vMerge/>
            <w:hideMark/>
          </w:tcPr>
          <w:p w14:paraId="3E91E213" w14:textId="77777777" w:rsidR="000054F7" w:rsidRPr="000054F7" w:rsidRDefault="000054F7" w:rsidP="00A25ECD">
            <w:pPr>
              <w:jc w:val="center"/>
              <w:rPr>
                <w:rFonts w:ascii="Sansa-Normal" w:eastAsia="Times New Roman" w:hAnsi="Sansa-Normal" w:cs="Times New Roman"/>
                <w:color w:val="000000"/>
              </w:rPr>
            </w:pPr>
          </w:p>
        </w:tc>
        <w:tc>
          <w:tcPr>
            <w:tcW w:w="1200" w:type="dxa"/>
            <w:noWrap/>
            <w:hideMark/>
          </w:tcPr>
          <w:p w14:paraId="7D9ACE76"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1%</w:t>
            </w:r>
          </w:p>
        </w:tc>
        <w:tc>
          <w:tcPr>
            <w:tcW w:w="1260" w:type="dxa"/>
            <w:noWrap/>
            <w:hideMark/>
          </w:tcPr>
          <w:p w14:paraId="36EF83B9"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30</w:t>
            </w:r>
          </w:p>
        </w:tc>
        <w:tc>
          <w:tcPr>
            <w:tcW w:w="1260" w:type="dxa"/>
            <w:noWrap/>
            <w:hideMark/>
          </w:tcPr>
          <w:p w14:paraId="1D9D179E"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1008</w:t>
            </w:r>
          </w:p>
        </w:tc>
        <w:tc>
          <w:tcPr>
            <w:tcW w:w="1200" w:type="dxa"/>
            <w:vMerge/>
            <w:hideMark/>
          </w:tcPr>
          <w:p w14:paraId="2E9FBFD9"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p>
        </w:tc>
        <w:tc>
          <w:tcPr>
            <w:tcW w:w="1224" w:type="dxa"/>
            <w:noWrap/>
            <w:hideMark/>
          </w:tcPr>
          <w:p w14:paraId="418FAB31"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0</w:t>
            </w:r>
          </w:p>
        </w:tc>
        <w:tc>
          <w:tcPr>
            <w:tcW w:w="1442" w:type="dxa"/>
            <w:vMerge/>
            <w:hideMark/>
          </w:tcPr>
          <w:p w14:paraId="3FA75BF4"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p>
        </w:tc>
      </w:tr>
      <w:tr w:rsidR="000054F7" w:rsidRPr="000054F7" w14:paraId="3763C78B" w14:textId="77777777" w:rsidTr="00005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vMerge w:val="restart"/>
            <w:tcBorders>
              <w:top w:val="none" w:sz="0" w:space="0" w:color="auto"/>
              <w:left w:val="none" w:sz="0" w:space="0" w:color="auto"/>
              <w:bottom w:val="none" w:sz="0" w:space="0" w:color="auto"/>
            </w:tcBorders>
            <w:noWrap/>
            <w:hideMark/>
          </w:tcPr>
          <w:p w14:paraId="40A06721" w14:textId="77777777" w:rsidR="000054F7" w:rsidRPr="000054F7" w:rsidRDefault="000054F7" w:rsidP="00A25ECD">
            <w:pPr>
              <w:jc w:val="center"/>
              <w:rPr>
                <w:rFonts w:ascii="Sansa-Normal" w:eastAsia="Times New Roman" w:hAnsi="Sansa-Normal" w:cs="Times New Roman"/>
                <w:color w:val="000000"/>
              </w:rPr>
            </w:pPr>
            <w:r w:rsidRPr="000054F7">
              <w:rPr>
                <w:rFonts w:ascii="Sansa-Normal" w:eastAsia="Times New Roman" w:hAnsi="Sansa-Normal" w:cs="Times New Roman"/>
                <w:color w:val="000000"/>
              </w:rPr>
              <w:t>10</w:t>
            </w:r>
          </w:p>
        </w:tc>
        <w:tc>
          <w:tcPr>
            <w:tcW w:w="1200" w:type="dxa"/>
            <w:tcBorders>
              <w:top w:val="none" w:sz="0" w:space="0" w:color="auto"/>
              <w:bottom w:val="none" w:sz="0" w:space="0" w:color="auto"/>
            </w:tcBorders>
            <w:noWrap/>
            <w:hideMark/>
          </w:tcPr>
          <w:p w14:paraId="64A13D6B"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3%</w:t>
            </w:r>
          </w:p>
        </w:tc>
        <w:tc>
          <w:tcPr>
            <w:tcW w:w="1260" w:type="dxa"/>
            <w:tcBorders>
              <w:top w:val="none" w:sz="0" w:space="0" w:color="auto"/>
              <w:bottom w:val="none" w:sz="0" w:space="0" w:color="auto"/>
            </w:tcBorders>
            <w:noWrap/>
            <w:hideMark/>
          </w:tcPr>
          <w:p w14:paraId="18BE294F"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10</w:t>
            </w:r>
          </w:p>
        </w:tc>
        <w:tc>
          <w:tcPr>
            <w:tcW w:w="1260" w:type="dxa"/>
            <w:tcBorders>
              <w:top w:val="none" w:sz="0" w:space="0" w:color="auto"/>
              <w:bottom w:val="none" w:sz="0" w:space="0" w:color="auto"/>
            </w:tcBorders>
            <w:noWrap/>
            <w:hideMark/>
          </w:tcPr>
          <w:p w14:paraId="524383B4"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1008</w:t>
            </w:r>
          </w:p>
        </w:tc>
        <w:tc>
          <w:tcPr>
            <w:tcW w:w="1200" w:type="dxa"/>
            <w:vMerge w:val="restart"/>
            <w:tcBorders>
              <w:top w:val="none" w:sz="0" w:space="0" w:color="auto"/>
              <w:bottom w:val="none" w:sz="0" w:space="0" w:color="auto"/>
            </w:tcBorders>
            <w:noWrap/>
            <w:hideMark/>
          </w:tcPr>
          <w:p w14:paraId="03207F97"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1680</w:t>
            </w:r>
          </w:p>
        </w:tc>
        <w:tc>
          <w:tcPr>
            <w:tcW w:w="1224" w:type="dxa"/>
            <w:vMerge w:val="restart"/>
            <w:tcBorders>
              <w:top w:val="none" w:sz="0" w:space="0" w:color="auto"/>
              <w:bottom w:val="none" w:sz="0" w:space="0" w:color="auto"/>
            </w:tcBorders>
            <w:noWrap/>
            <w:hideMark/>
          </w:tcPr>
          <w:p w14:paraId="10CB6640"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924</w:t>
            </w:r>
          </w:p>
        </w:tc>
        <w:tc>
          <w:tcPr>
            <w:tcW w:w="1442" w:type="dxa"/>
            <w:vMerge w:val="restart"/>
            <w:tcBorders>
              <w:top w:val="none" w:sz="0" w:space="0" w:color="auto"/>
              <w:bottom w:val="none" w:sz="0" w:space="0" w:color="auto"/>
              <w:right w:val="none" w:sz="0" w:space="0" w:color="auto"/>
            </w:tcBorders>
            <w:noWrap/>
            <w:hideMark/>
          </w:tcPr>
          <w:p w14:paraId="661E670A"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    2,604.00</w:t>
            </w:r>
          </w:p>
        </w:tc>
      </w:tr>
      <w:tr w:rsidR="000054F7" w:rsidRPr="000054F7" w14:paraId="4D813A3B" w14:textId="77777777" w:rsidTr="000054F7">
        <w:trPr>
          <w:trHeight w:val="300"/>
        </w:trPr>
        <w:tc>
          <w:tcPr>
            <w:cnfStyle w:val="001000000000" w:firstRow="0" w:lastRow="0" w:firstColumn="1" w:lastColumn="0" w:oddVBand="0" w:evenVBand="0" w:oddHBand="0" w:evenHBand="0" w:firstRowFirstColumn="0" w:firstRowLastColumn="0" w:lastRowFirstColumn="0" w:lastRowLastColumn="0"/>
            <w:tcW w:w="1200" w:type="dxa"/>
            <w:vMerge/>
            <w:hideMark/>
          </w:tcPr>
          <w:p w14:paraId="09EB0255" w14:textId="77777777" w:rsidR="000054F7" w:rsidRPr="000054F7" w:rsidRDefault="000054F7" w:rsidP="00A25ECD">
            <w:pPr>
              <w:jc w:val="center"/>
              <w:rPr>
                <w:rFonts w:ascii="Sansa-Normal" w:eastAsia="Times New Roman" w:hAnsi="Sansa-Normal" w:cs="Times New Roman"/>
                <w:color w:val="000000"/>
              </w:rPr>
            </w:pPr>
          </w:p>
        </w:tc>
        <w:tc>
          <w:tcPr>
            <w:tcW w:w="1200" w:type="dxa"/>
            <w:noWrap/>
            <w:hideMark/>
          </w:tcPr>
          <w:p w14:paraId="17C51A66"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1%</w:t>
            </w:r>
          </w:p>
        </w:tc>
        <w:tc>
          <w:tcPr>
            <w:tcW w:w="1260" w:type="dxa"/>
            <w:noWrap/>
            <w:hideMark/>
          </w:tcPr>
          <w:p w14:paraId="7F927246"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20</w:t>
            </w:r>
          </w:p>
        </w:tc>
        <w:tc>
          <w:tcPr>
            <w:tcW w:w="1260" w:type="dxa"/>
            <w:noWrap/>
            <w:hideMark/>
          </w:tcPr>
          <w:p w14:paraId="3036E29D"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672</w:t>
            </w:r>
          </w:p>
        </w:tc>
        <w:tc>
          <w:tcPr>
            <w:tcW w:w="1200" w:type="dxa"/>
            <w:vMerge/>
            <w:hideMark/>
          </w:tcPr>
          <w:p w14:paraId="44A06C30"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p>
        </w:tc>
        <w:tc>
          <w:tcPr>
            <w:tcW w:w="1224" w:type="dxa"/>
            <w:vMerge/>
            <w:hideMark/>
          </w:tcPr>
          <w:p w14:paraId="59634E65"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p>
        </w:tc>
        <w:tc>
          <w:tcPr>
            <w:tcW w:w="1442" w:type="dxa"/>
            <w:vMerge/>
            <w:hideMark/>
          </w:tcPr>
          <w:p w14:paraId="51C3542E"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p>
        </w:tc>
      </w:tr>
      <w:tr w:rsidR="000054F7" w:rsidRPr="000054F7" w14:paraId="7306795A" w14:textId="77777777" w:rsidTr="00005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tcBorders>
              <w:top w:val="none" w:sz="0" w:space="0" w:color="auto"/>
              <w:left w:val="none" w:sz="0" w:space="0" w:color="auto"/>
              <w:bottom w:val="none" w:sz="0" w:space="0" w:color="auto"/>
            </w:tcBorders>
            <w:noWrap/>
            <w:hideMark/>
          </w:tcPr>
          <w:p w14:paraId="71A3DB3F" w14:textId="77777777" w:rsidR="000054F7" w:rsidRPr="000054F7" w:rsidRDefault="000054F7" w:rsidP="00A25ECD">
            <w:pPr>
              <w:jc w:val="center"/>
              <w:rPr>
                <w:rFonts w:ascii="Sansa-Normal" w:eastAsia="Times New Roman" w:hAnsi="Sansa-Normal" w:cs="Times New Roman"/>
                <w:color w:val="000000"/>
              </w:rPr>
            </w:pPr>
            <w:r w:rsidRPr="000054F7">
              <w:rPr>
                <w:rFonts w:ascii="Sansa-Normal" w:eastAsia="Times New Roman" w:hAnsi="Sansa-Normal" w:cs="Times New Roman"/>
                <w:color w:val="000000"/>
              </w:rPr>
              <w:t>20</w:t>
            </w:r>
          </w:p>
        </w:tc>
        <w:tc>
          <w:tcPr>
            <w:tcW w:w="1200" w:type="dxa"/>
            <w:tcBorders>
              <w:top w:val="none" w:sz="0" w:space="0" w:color="auto"/>
              <w:bottom w:val="none" w:sz="0" w:space="0" w:color="auto"/>
            </w:tcBorders>
            <w:noWrap/>
            <w:hideMark/>
          </w:tcPr>
          <w:p w14:paraId="361EFCB8"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1%</w:t>
            </w:r>
          </w:p>
        </w:tc>
        <w:tc>
          <w:tcPr>
            <w:tcW w:w="1260" w:type="dxa"/>
            <w:tcBorders>
              <w:top w:val="none" w:sz="0" w:space="0" w:color="auto"/>
              <w:bottom w:val="none" w:sz="0" w:space="0" w:color="auto"/>
            </w:tcBorders>
            <w:noWrap/>
            <w:hideMark/>
          </w:tcPr>
          <w:p w14:paraId="5DD1E9FF"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10</w:t>
            </w:r>
          </w:p>
        </w:tc>
        <w:tc>
          <w:tcPr>
            <w:tcW w:w="1260" w:type="dxa"/>
            <w:tcBorders>
              <w:top w:val="none" w:sz="0" w:space="0" w:color="auto"/>
              <w:bottom w:val="none" w:sz="0" w:space="0" w:color="auto"/>
            </w:tcBorders>
            <w:noWrap/>
            <w:hideMark/>
          </w:tcPr>
          <w:p w14:paraId="590ABC98"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336</w:t>
            </w:r>
          </w:p>
        </w:tc>
        <w:tc>
          <w:tcPr>
            <w:tcW w:w="1200" w:type="dxa"/>
            <w:tcBorders>
              <w:top w:val="none" w:sz="0" w:space="0" w:color="auto"/>
              <w:bottom w:val="none" w:sz="0" w:space="0" w:color="auto"/>
            </w:tcBorders>
            <w:noWrap/>
            <w:hideMark/>
          </w:tcPr>
          <w:p w14:paraId="0BF1EEB6"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336</w:t>
            </w:r>
          </w:p>
        </w:tc>
        <w:tc>
          <w:tcPr>
            <w:tcW w:w="1224" w:type="dxa"/>
            <w:tcBorders>
              <w:top w:val="none" w:sz="0" w:space="0" w:color="auto"/>
              <w:bottom w:val="none" w:sz="0" w:space="0" w:color="auto"/>
            </w:tcBorders>
            <w:noWrap/>
            <w:hideMark/>
          </w:tcPr>
          <w:p w14:paraId="5B5F6746"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1848</w:t>
            </w:r>
          </w:p>
        </w:tc>
        <w:tc>
          <w:tcPr>
            <w:tcW w:w="1442" w:type="dxa"/>
            <w:tcBorders>
              <w:top w:val="none" w:sz="0" w:space="0" w:color="auto"/>
              <w:bottom w:val="none" w:sz="0" w:space="0" w:color="auto"/>
              <w:right w:val="none" w:sz="0" w:space="0" w:color="auto"/>
            </w:tcBorders>
            <w:noWrap/>
            <w:hideMark/>
          </w:tcPr>
          <w:p w14:paraId="7609DA3E" w14:textId="77777777" w:rsidR="000054F7" w:rsidRPr="000054F7" w:rsidRDefault="000054F7" w:rsidP="00A25ECD">
            <w:pPr>
              <w:jc w:val="center"/>
              <w:cnfStyle w:val="000000100000" w:firstRow="0" w:lastRow="0" w:firstColumn="0" w:lastColumn="0" w:oddVBand="0" w:evenVBand="0" w:oddHBand="1"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    2,184.00</w:t>
            </w:r>
          </w:p>
        </w:tc>
      </w:tr>
      <w:tr w:rsidR="000054F7" w:rsidRPr="000054F7" w14:paraId="6D322AB3" w14:textId="77777777" w:rsidTr="000054F7">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A6A6336" w14:textId="77777777" w:rsidR="000054F7" w:rsidRPr="000054F7" w:rsidRDefault="000054F7" w:rsidP="00A25ECD">
            <w:pPr>
              <w:jc w:val="center"/>
              <w:rPr>
                <w:rFonts w:ascii="Sansa-Normal" w:eastAsia="Times New Roman" w:hAnsi="Sansa-Normal" w:cs="Times New Roman"/>
                <w:color w:val="000000"/>
              </w:rPr>
            </w:pPr>
            <w:r w:rsidRPr="000054F7">
              <w:rPr>
                <w:rFonts w:ascii="Sansa-Normal" w:eastAsia="Times New Roman" w:hAnsi="Sansa-Normal" w:cs="Times New Roman"/>
                <w:color w:val="000000"/>
              </w:rPr>
              <w:t>30</w:t>
            </w:r>
          </w:p>
        </w:tc>
        <w:tc>
          <w:tcPr>
            <w:tcW w:w="1200" w:type="dxa"/>
            <w:noWrap/>
            <w:hideMark/>
          </w:tcPr>
          <w:p w14:paraId="3E6CEFA6"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0%</w:t>
            </w:r>
          </w:p>
        </w:tc>
        <w:tc>
          <w:tcPr>
            <w:tcW w:w="1260" w:type="dxa"/>
            <w:noWrap/>
            <w:hideMark/>
          </w:tcPr>
          <w:p w14:paraId="743295C2"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0</w:t>
            </w:r>
          </w:p>
        </w:tc>
        <w:tc>
          <w:tcPr>
            <w:tcW w:w="1260" w:type="dxa"/>
            <w:noWrap/>
            <w:hideMark/>
          </w:tcPr>
          <w:p w14:paraId="53A8273D"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0</w:t>
            </w:r>
          </w:p>
        </w:tc>
        <w:tc>
          <w:tcPr>
            <w:tcW w:w="1200" w:type="dxa"/>
            <w:noWrap/>
            <w:hideMark/>
          </w:tcPr>
          <w:p w14:paraId="74F6416C"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0</w:t>
            </w:r>
          </w:p>
        </w:tc>
        <w:tc>
          <w:tcPr>
            <w:tcW w:w="1224" w:type="dxa"/>
            <w:noWrap/>
            <w:hideMark/>
          </w:tcPr>
          <w:p w14:paraId="2638CC83"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2772</w:t>
            </w:r>
          </w:p>
        </w:tc>
        <w:tc>
          <w:tcPr>
            <w:tcW w:w="1442" w:type="dxa"/>
            <w:noWrap/>
            <w:hideMark/>
          </w:tcPr>
          <w:p w14:paraId="6C0A963A" w14:textId="77777777" w:rsidR="000054F7" w:rsidRPr="000054F7" w:rsidRDefault="000054F7" w:rsidP="00A25ECD">
            <w:pPr>
              <w:jc w:val="center"/>
              <w:cnfStyle w:val="000000000000" w:firstRow="0" w:lastRow="0" w:firstColumn="0" w:lastColumn="0" w:oddVBand="0" w:evenVBand="0" w:oddHBand="0" w:evenHBand="0" w:firstRowFirstColumn="0" w:firstRowLastColumn="0" w:lastRowFirstColumn="0" w:lastRowLastColumn="0"/>
              <w:rPr>
                <w:rFonts w:ascii="Sansa-Normal" w:eastAsia="Times New Roman" w:hAnsi="Sansa-Normal" w:cs="Times New Roman"/>
                <w:color w:val="000000"/>
              </w:rPr>
            </w:pPr>
            <w:r w:rsidRPr="000054F7">
              <w:rPr>
                <w:rFonts w:ascii="Sansa-Normal" w:eastAsia="Times New Roman" w:hAnsi="Sansa-Normal" w:cs="Times New Roman"/>
                <w:color w:val="000000"/>
              </w:rPr>
              <w:t>$    2,772.00</w:t>
            </w:r>
          </w:p>
        </w:tc>
      </w:tr>
    </w:tbl>
    <w:p w14:paraId="21DC0483" w14:textId="343ABDA2" w:rsidR="000054F7" w:rsidRPr="000054F7" w:rsidRDefault="000054F7" w:rsidP="000054F7">
      <w:pPr>
        <w:jc w:val="center"/>
        <w:rPr>
          <w:rFonts w:ascii="Sansa-Normal" w:eastAsia="Times New Roman" w:hAnsi="Sansa-Normal" w:cstheme="minorHAnsi"/>
          <w:iCs/>
          <w:sz w:val="24"/>
          <w:szCs w:val="24"/>
        </w:rPr>
      </w:pPr>
      <w:r>
        <w:rPr>
          <w:rFonts w:ascii="Sansa-Normal" w:eastAsia="Times New Roman" w:hAnsi="Sansa-Normal" w:cstheme="minorHAnsi"/>
          <w:iCs/>
          <w:sz w:val="24"/>
          <w:szCs w:val="24"/>
        </w:rPr>
        <w:t>Tabla 4</w:t>
      </w:r>
    </w:p>
    <w:p w14:paraId="4C89B995" w14:textId="77777777" w:rsidR="000054F7" w:rsidRDefault="000054F7" w:rsidP="000054F7">
      <w:pPr>
        <w:rPr>
          <w:rFonts w:ascii="Sansa-Normal" w:eastAsia="Times New Roman" w:hAnsi="Sansa-Normal" w:cstheme="minorHAnsi"/>
          <w:iCs/>
          <w:sz w:val="24"/>
          <w:szCs w:val="24"/>
        </w:rPr>
      </w:pPr>
    </w:p>
    <w:p w14:paraId="5AA158C7" w14:textId="77777777" w:rsidR="000054F7" w:rsidRDefault="000054F7" w:rsidP="000054F7">
      <w:pPr>
        <w:rPr>
          <w:rFonts w:ascii="Sansa-Normal" w:eastAsia="Times New Roman" w:hAnsi="Sansa-Normal" w:cstheme="minorHAnsi"/>
          <w:iCs/>
          <w:sz w:val="24"/>
          <w:szCs w:val="24"/>
        </w:rPr>
      </w:pPr>
    </w:p>
    <w:p w14:paraId="7AD7A75A" w14:textId="77777777" w:rsidR="000054F7" w:rsidRDefault="000054F7" w:rsidP="000054F7">
      <w:pPr>
        <w:rPr>
          <w:rFonts w:ascii="Sansa-Normal" w:eastAsia="Times New Roman" w:hAnsi="Sansa-Normal" w:cstheme="minorHAnsi"/>
          <w:iCs/>
          <w:sz w:val="24"/>
          <w:szCs w:val="24"/>
        </w:rPr>
      </w:pPr>
    </w:p>
    <w:p w14:paraId="3E3C1876" w14:textId="77777777" w:rsidR="000054F7" w:rsidRDefault="000054F7" w:rsidP="000054F7">
      <w:pPr>
        <w:rPr>
          <w:rFonts w:ascii="Sansa-Normal" w:eastAsia="Times New Roman" w:hAnsi="Sansa-Normal" w:cstheme="minorHAnsi"/>
          <w:iCs/>
          <w:sz w:val="24"/>
          <w:szCs w:val="24"/>
        </w:rPr>
      </w:pPr>
    </w:p>
    <w:p w14:paraId="22834EF2" w14:textId="77777777" w:rsidR="000054F7" w:rsidRDefault="000054F7" w:rsidP="000054F7">
      <w:pPr>
        <w:rPr>
          <w:rFonts w:ascii="Sansa-Normal" w:eastAsia="Times New Roman" w:hAnsi="Sansa-Normal" w:cstheme="minorHAnsi"/>
          <w:iCs/>
          <w:sz w:val="24"/>
          <w:szCs w:val="24"/>
        </w:rPr>
      </w:pPr>
    </w:p>
    <w:p w14:paraId="227858DB" w14:textId="77777777" w:rsidR="000054F7" w:rsidRDefault="000054F7" w:rsidP="000054F7">
      <w:pPr>
        <w:rPr>
          <w:rFonts w:ascii="Sansa-Normal" w:eastAsia="Times New Roman" w:hAnsi="Sansa-Normal" w:cstheme="minorHAnsi"/>
          <w:iCs/>
          <w:sz w:val="24"/>
          <w:szCs w:val="24"/>
        </w:rPr>
      </w:pPr>
    </w:p>
    <w:p w14:paraId="7DF59336" w14:textId="77777777" w:rsidR="000054F7" w:rsidRDefault="000054F7" w:rsidP="000054F7">
      <w:pPr>
        <w:rPr>
          <w:rFonts w:ascii="Sansa-Normal" w:eastAsia="Times New Roman" w:hAnsi="Sansa-Normal" w:cstheme="minorHAnsi"/>
          <w:iCs/>
          <w:sz w:val="24"/>
          <w:szCs w:val="24"/>
        </w:rPr>
      </w:pPr>
    </w:p>
    <w:p w14:paraId="47F92AFB" w14:textId="511D6DA9" w:rsidR="000054F7" w:rsidRPr="000054F7" w:rsidRDefault="000054F7" w:rsidP="000054F7">
      <w:pPr>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 xml:space="preserve">Supongamos que para el caso propuesto, el costo por pieza es de $420, el número de pedidos por año es de 8 y la tasa de costo de inventario anual es del 22%. </w:t>
      </w:r>
    </w:p>
    <w:p w14:paraId="4449C887" w14:textId="60553089" w:rsidR="000054F7" w:rsidRPr="000054F7" w:rsidRDefault="000054F7" w:rsidP="000054F7">
      <w:pPr>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Así, se calculan cada uno de los costos para cada renglón donde la probabilidad de ocurrencia en la tabla, está debajo del valor del inventario de seguridad con el que pretende solucionar cada ocurrencia. En el caso de un inventario de seguridad de 0 piezas, podemos observar que hubo un 3% de los pedidos que llegaron cuando hacían falta ya 10 piezas, otro 3% de los pedidos llegó cuando ya hacían falta 20 piezas y otro 1% de los pedidos llegó cuando ya hacían falta 30 piezas. Y así sucesivamente para cuando queremos tener 10 piezas de inventario de seguridad, 20 piezas o 30 piezas. Se calculan los costos totales para cada caso sumando los renglones que caen dentro de cada escenario y se obtienen los costos totales de tener un inventario de segu</w:t>
      </w:r>
      <w:r>
        <w:rPr>
          <w:rFonts w:ascii="Sansa-Normal" w:eastAsia="Times New Roman" w:hAnsi="Sansa-Normal" w:cstheme="minorHAnsi"/>
          <w:iCs/>
          <w:sz w:val="24"/>
          <w:szCs w:val="24"/>
        </w:rPr>
        <w:t>ridad de 0, 10, 20 o 30 piezas.</w:t>
      </w:r>
      <w:bookmarkStart w:id="0" w:name="_GoBack"/>
      <w:bookmarkEnd w:id="0"/>
    </w:p>
    <w:p w14:paraId="5D9EBBFB" w14:textId="77777777" w:rsidR="000054F7" w:rsidRPr="000054F7" w:rsidRDefault="000054F7" w:rsidP="000054F7">
      <w:pPr>
        <w:rPr>
          <w:rFonts w:ascii="Sansa-Normal" w:eastAsia="Times New Roman" w:hAnsi="Sansa-Normal" w:cstheme="minorHAnsi"/>
          <w:iCs/>
          <w:sz w:val="24"/>
          <w:szCs w:val="24"/>
        </w:rPr>
      </w:pPr>
      <w:r w:rsidRPr="000054F7">
        <w:rPr>
          <w:rFonts w:ascii="Sansa-Normal" w:eastAsia="Times New Roman" w:hAnsi="Sansa-Normal" w:cstheme="minorHAnsi"/>
          <w:iCs/>
          <w:sz w:val="24"/>
          <w:szCs w:val="24"/>
        </w:rPr>
        <w:t xml:space="preserve">Ahora lo que tengo que hacer es determinar si el costo de tener un inventario de seguridad es menor que el costo de no tenerlo. En la tabla podemos observar que el costo de no tener un inventario de seguridad bajo condiciones actuales es de $4,032, y el costo de tener un inventario de seguridad de 30 piezas es de $2,772, por lo que sería más conveniente tener un inventario de seguridad de 30 piezas, que no tener inventario de seguridad. Sin embargo, el costo de tener 20 piezas en el inventario de seguridad es aún más bajo, costando solamente $2,184, y si tomamos en cuenta que la probabilidad de que un pedido llegue con más de 20 piezas faltantes es solamente del 1%, lo mejor será tomar esta opción y mantener solamente 20 piezas en mi inventario de seguridad, lo que me garantiza que el 99% del tiempo, los pedidos llegarán en el tiempo estimado para no generar a la organización un cargo adicional por pedidos extraordinarios de piezas o paros productivos (Gallagher &amp; Watson, 1982, fragmentos).  </w:t>
      </w:r>
    </w:p>
    <w:p w14:paraId="2D9E7D54" w14:textId="77777777" w:rsidR="000054F7" w:rsidRPr="000054F7" w:rsidRDefault="000054F7" w:rsidP="000054F7">
      <w:pPr>
        <w:jc w:val="center"/>
        <w:rPr>
          <w:rFonts w:ascii="Sansa-Normal" w:eastAsia="Times New Roman" w:hAnsi="Sansa-Normal" w:cstheme="minorHAnsi"/>
          <w:iCs/>
          <w:sz w:val="24"/>
          <w:szCs w:val="24"/>
        </w:rPr>
      </w:pPr>
    </w:p>
    <w:p w14:paraId="0752EE47" w14:textId="77777777" w:rsidR="000054F7" w:rsidRPr="00B30BD5" w:rsidRDefault="000054F7" w:rsidP="000054F7">
      <w:pPr>
        <w:jc w:val="center"/>
        <w:rPr>
          <w:rFonts w:ascii="Sansa-Normal" w:eastAsia="Times New Roman" w:hAnsi="Sansa-Normal" w:cstheme="minorHAnsi"/>
          <w:iCs/>
          <w:sz w:val="24"/>
          <w:szCs w:val="24"/>
        </w:rPr>
      </w:pPr>
    </w:p>
    <w:sectPr w:rsidR="000054F7" w:rsidRPr="00B30BD5" w:rsidSect="009C58B5">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E065F" w:rsidRDefault="00EE065F" w:rsidP="000C56E4">
      <w:r>
        <w:separator/>
      </w:r>
    </w:p>
  </w:endnote>
  <w:endnote w:type="continuationSeparator" w:id="0">
    <w:p w14:paraId="03EE6BA2" w14:textId="77777777" w:rsidR="00EE065F" w:rsidRDefault="00EE065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EE065F" w:rsidRDefault="00EE065F"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EE065F" w:rsidRDefault="00EE065F"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E065F" w:rsidRDefault="00EE065F" w:rsidP="000C56E4">
      <w:r>
        <w:separator/>
      </w:r>
    </w:p>
  </w:footnote>
  <w:footnote w:type="continuationSeparator" w:id="0">
    <w:p w14:paraId="143CF59E" w14:textId="77777777" w:rsidR="00EE065F" w:rsidRDefault="00EE065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F3D8B86" w:rsidR="00EE065F" w:rsidRDefault="002754FC"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22CE7B">
              <wp:simplePos x="0" y="0"/>
              <wp:positionH relativeFrom="column">
                <wp:posOffset>-800100</wp:posOffset>
              </wp:positionH>
              <wp:positionV relativeFrom="paragraph">
                <wp:posOffset>-626110</wp:posOffset>
              </wp:positionV>
              <wp:extent cx="7876540" cy="11430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EE065F" w:rsidRPr="007D4A87" w:rsidRDefault="00EE065F" w:rsidP="009F1157">
                          <w:pPr>
                            <w:spacing w:after="0" w:line="240" w:lineRule="auto"/>
                            <w:jc w:val="center"/>
                            <w:rPr>
                              <w:rFonts w:ascii="Dispatch-Regular" w:hAnsi="Dispatch-Regular" w:cs="Dispatch-Regular"/>
                              <w:color w:val="FCBD00"/>
                              <w:sz w:val="18"/>
                              <w:szCs w:val="66"/>
                              <w:lang w:val="es-ES" w:eastAsia="es-ES"/>
                            </w:rPr>
                          </w:pPr>
                        </w:p>
                        <w:p w14:paraId="36D60A43" w14:textId="3DE4AB41" w:rsidR="00EE065F" w:rsidRPr="000054F7" w:rsidRDefault="000054F7" w:rsidP="0052056B">
                          <w:pPr>
                            <w:spacing w:after="0" w:line="240" w:lineRule="auto"/>
                            <w:rPr>
                              <w:rFonts w:ascii="Dispatch-Regular" w:hAnsi="Dispatch-Regular" w:cs="Dispatch-Regular"/>
                              <w:color w:val="FCBD00"/>
                              <w:sz w:val="96"/>
                              <w:szCs w:val="40"/>
                              <w:lang w:val="es-ES" w:eastAsia="es-ES"/>
                            </w:rPr>
                          </w:pPr>
                          <w:r w:rsidRPr="000054F7">
                            <w:rPr>
                              <w:rFonts w:ascii="Dispatch-Regular" w:hAnsi="Dispatch-Regular" w:cs="Dispatch-Regular"/>
                              <w:color w:val="FCBD00"/>
                              <w:sz w:val="96"/>
                              <w:szCs w:val="40"/>
                              <w:lang w:val="es-ES" w:eastAsia="es-ES"/>
                            </w:rPr>
                            <w:t>Recuerda Que</w:t>
                          </w:r>
                        </w:p>
                        <w:p w14:paraId="218269B6" w14:textId="77777777" w:rsidR="00EE065F" w:rsidRPr="00FA2C5B" w:rsidRDefault="00EE065F"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49.25pt;width:620.2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" filled="f" stroked="f">
              <v:textbox>
                <w:txbxContent>
                  <w:p w14:paraId="3F80615D" w14:textId="77777777" w:rsidR="00EE065F" w:rsidRPr="007D4A87" w:rsidRDefault="00EE065F" w:rsidP="009F1157">
                    <w:pPr>
                      <w:spacing w:after="0" w:line="240" w:lineRule="auto"/>
                      <w:jc w:val="center"/>
                      <w:rPr>
                        <w:rFonts w:ascii="Dispatch-Regular" w:hAnsi="Dispatch-Regular" w:cs="Dispatch-Regular"/>
                        <w:color w:val="FCBD00"/>
                        <w:sz w:val="18"/>
                        <w:szCs w:val="66"/>
                        <w:lang w:val="es-ES" w:eastAsia="es-ES"/>
                      </w:rPr>
                    </w:pPr>
                  </w:p>
                  <w:p w14:paraId="36D60A43" w14:textId="3DE4AB41" w:rsidR="00EE065F" w:rsidRPr="000054F7" w:rsidRDefault="000054F7" w:rsidP="0052056B">
                    <w:pPr>
                      <w:spacing w:after="0" w:line="240" w:lineRule="auto"/>
                      <w:rPr>
                        <w:rFonts w:ascii="Dispatch-Regular" w:hAnsi="Dispatch-Regular" w:cs="Dispatch-Regular"/>
                        <w:color w:val="FCBD00"/>
                        <w:sz w:val="96"/>
                        <w:szCs w:val="40"/>
                        <w:lang w:val="es-ES" w:eastAsia="es-ES"/>
                      </w:rPr>
                    </w:pPr>
                    <w:r w:rsidRPr="000054F7">
                      <w:rPr>
                        <w:rFonts w:ascii="Dispatch-Regular" w:hAnsi="Dispatch-Regular" w:cs="Dispatch-Regular"/>
                        <w:color w:val="FCBD00"/>
                        <w:sz w:val="96"/>
                        <w:szCs w:val="40"/>
                        <w:lang w:val="es-ES" w:eastAsia="es-ES"/>
                      </w:rPr>
                      <w:t>Recuerda Que</w:t>
                    </w:r>
                  </w:p>
                  <w:p w14:paraId="218269B6" w14:textId="77777777" w:rsidR="00EE065F" w:rsidRPr="00FA2C5B" w:rsidRDefault="00EE065F"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671E6A4B">
          <wp:simplePos x="0" y="0"/>
          <wp:positionH relativeFrom="column">
            <wp:posOffset>-914400</wp:posOffset>
          </wp:positionH>
          <wp:positionV relativeFrom="paragraph">
            <wp:posOffset>-512445</wp:posOffset>
          </wp:positionV>
          <wp:extent cx="8063230" cy="119507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230" cy="1195070"/>
                  </a:xfrm>
                  <a:prstGeom prst="rect">
                    <a:avLst/>
                  </a:prstGeom>
                  <a:noFill/>
                  <a:ln>
                    <a:noFill/>
                  </a:ln>
                </pic:spPr>
              </pic:pic>
            </a:graphicData>
          </a:graphic>
          <wp14:sizeRelH relativeFrom="page">
            <wp14:pctWidth>0</wp14:pctWidth>
          </wp14:sizeRelH>
          <wp14:sizeRelV relativeFrom="page">
            <wp14:pctHeight>0</wp14:pctHeight>
          </wp14:sizeRelV>
        </wp:anchor>
      </w:drawing>
    </w:r>
    <w:r w:rsidR="00EE065F">
      <w:t xml:space="preserve">  </w:t>
    </w:r>
    <w:r w:rsidR="00EE065F">
      <w:tab/>
    </w:r>
    <w:r w:rsidR="00EE065F">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4F7"/>
    <w:rsid w:val="00005F0E"/>
    <w:rsid w:val="0003791D"/>
    <w:rsid w:val="0004485E"/>
    <w:rsid w:val="0006642A"/>
    <w:rsid w:val="000C56E4"/>
    <w:rsid w:val="000E3AF1"/>
    <w:rsid w:val="00114A5D"/>
    <w:rsid w:val="001408BB"/>
    <w:rsid w:val="00170F38"/>
    <w:rsid w:val="00175BD2"/>
    <w:rsid w:val="0018094E"/>
    <w:rsid w:val="001A3CC6"/>
    <w:rsid w:val="00214F9E"/>
    <w:rsid w:val="002452F5"/>
    <w:rsid w:val="00264981"/>
    <w:rsid w:val="002754FC"/>
    <w:rsid w:val="002C5D7E"/>
    <w:rsid w:val="002D71CD"/>
    <w:rsid w:val="002E34DD"/>
    <w:rsid w:val="002E3CFD"/>
    <w:rsid w:val="002F433B"/>
    <w:rsid w:val="00305F1F"/>
    <w:rsid w:val="003064B8"/>
    <w:rsid w:val="003174AE"/>
    <w:rsid w:val="00322AFF"/>
    <w:rsid w:val="00343EB9"/>
    <w:rsid w:val="003812F4"/>
    <w:rsid w:val="0039235F"/>
    <w:rsid w:val="003C10FB"/>
    <w:rsid w:val="003D431C"/>
    <w:rsid w:val="003D510C"/>
    <w:rsid w:val="003E53E7"/>
    <w:rsid w:val="00416ABB"/>
    <w:rsid w:val="00431D90"/>
    <w:rsid w:val="00475446"/>
    <w:rsid w:val="00475BD0"/>
    <w:rsid w:val="004918B3"/>
    <w:rsid w:val="004F555F"/>
    <w:rsid w:val="0052056B"/>
    <w:rsid w:val="005639CC"/>
    <w:rsid w:val="005A1539"/>
    <w:rsid w:val="005C770C"/>
    <w:rsid w:val="005D53CF"/>
    <w:rsid w:val="005F42A2"/>
    <w:rsid w:val="00617C2D"/>
    <w:rsid w:val="00625AF7"/>
    <w:rsid w:val="0065609F"/>
    <w:rsid w:val="00663B8D"/>
    <w:rsid w:val="0068742F"/>
    <w:rsid w:val="00695EFB"/>
    <w:rsid w:val="00696502"/>
    <w:rsid w:val="00696D11"/>
    <w:rsid w:val="006B2A8F"/>
    <w:rsid w:val="006B46CF"/>
    <w:rsid w:val="00703456"/>
    <w:rsid w:val="007174A4"/>
    <w:rsid w:val="00780D6B"/>
    <w:rsid w:val="007852CE"/>
    <w:rsid w:val="00794373"/>
    <w:rsid w:val="00796560"/>
    <w:rsid w:val="007A02A5"/>
    <w:rsid w:val="007B0549"/>
    <w:rsid w:val="007C352A"/>
    <w:rsid w:val="007D4A87"/>
    <w:rsid w:val="007E15BB"/>
    <w:rsid w:val="0084096C"/>
    <w:rsid w:val="00844CDF"/>
    <w:rsid w:val="00851A71"/>
    <w:rsid w:val="00884708"/>
    <w:rsid w:val="008B4187"/>
    <w:rsid w:val="00927DB0"/>
    <w:rsid w:val="00954389"/>
    <w:rsid w:val="009678FA"/>
    <w:rsid w:val="009A3FDE"/>
    <w:rsid w:val="009C2D6F"/>
    <w:rsid w:val="009C58B5"/>
    <w:rsid w:val="009F1157"/>
    <w:rsid w:val="00A03327"/>
    <w:rsid w:val="00A73CB4"/>
    <w:rsid w:val="00AC1CD5"/>
    <w:rsid w:val="00AF22D2"/>
    <w:rsid w:val="00AF4C80"/>
    <w:rsid w:val="00B30BD5"/>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856E8"/>
    <w:rsid w:val="00DB30AC"/>
    <w:rsid w:val="00DB35CC"/>
    <w:rsid w:val="00DE08F5"/>
    <w:rsid w:val="00DE64AE"/>
    <w:rsid w:val="00DF2293"/>
    <w:rsid w:val="00E06C8E"/>
    <w:rsid w:val="00E22DBB"/>
    <w:rsid w:val="00E342E9"/>
    <w:rsid w:val="00E44C17"/>
    <w:rsid w:val="00E60597"/>
    <w:rsid w:val="00E67127"/>
    <w:rsid w:val="00E974DE"/>
    <w:rsid w:val="00EA3784"/>
    <w:rsid w:val="00EB4AED"/>
    <w:rsid w:val="00EB7E40"/>
    <w:rsid w:val="00EE065F"/>
    <w:rsid w:val="00F315E4"/>
    <w:rsid w:val="00F36010"/>
    <w:rsid w:val="00F8525E"/>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3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3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A3814-9024-B24C-AB1D-4FEA3849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1258</Words>
  <Characters>6922</Characters>
  <Application>Microsoft Macintosh Word</Application>
  <DocSecurity>0</DocSecurity>
  <Lines>57</Lines>
  <Paragraphs>16</Paragraphs>
  <ScaleCrop>false</ScaleCrop>
  <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2017-05-11T19:02:00Z</cp:lastPrinted>
  <dcterms:created xsi:type="dcterms:W3CDTF">2017-05-11T19:02:00Z</dcterms:created>
  <dcterms:modified xsi:type="dcterms:W3CDTF">2017-05-11T19:02:00Z</dcterms:modified>
</cp:coreProperties>
</file>